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jc w:val="center"/>
        <w:rPr>
          <w:rFonts w:ascii="宋体" w:hAnsi="宋体" w:cs="宋体"/>
          <w:b/>
          <w:bCs/>
          <w:sz w:val="72"/>
        </w:rPr>
      </w:pPr>
      <w:r>
        <w:rPr>
          <w:rFonts w:hint="eastAsia" w:ascii="宋体" w:hAnsi="宋体" w:cs="宋体"/>
          <w:b/>
          <w:bCs/>
          <w:sz w:val="72"/>
        </w:rPr>
        <w:t>CIIA公式集</w:t>
      </w: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最终考试（II）</w:t>
      </w: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固定收益证券估值和分析</w:t>
      </w:r>
      <w:bookmarkStart w:id="187" w:name="_GoBack"/>
      <w:bookmarkEnd w:id="187"/>
    </w:p>
    <w:p>
      <w:pPr>
        <w:jc w:val="center"/>
        <w:rPr>
          <w:b/>
          <w:bCs/>
          <w:sz w:val="56"/>
          <w:szCs w:val="56"/>
        </w:rPr>
      </w:pP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衍生产品估值和分析</w:t>
      </w:r>
    </w:p>
    <w:p>
      <w:pPr>
        <w:jc w:val="center"/>
        <w:rPr>
          <w:b/>
          <w:bCs/>
          <w:sz w:val="56"/>
          <w:szCs w:val="56"/>
        </w:rPr>
      </w:pP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投资组合管理</w:t>
      </w: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  <w:r>
        <w:rPr>
          <w:rFonts w:hint="eastAsia"/>
          <w:sz w:val="28"/>
        </w:rPr>
        <w:t>供202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年3月和202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年9月考试季使用</w:t>
      </w:r>
    </w:p>
    <w:p>
      <w:pPr>
        <w:jc w:val="center"/>
        <w:rPr>
          <w:b/>
          <w:bCs/>
          <w:sz w:val="52"/>
        </w:rPr>
      </w:pPr>
      <w:r>
        <w:rPr>
          <w:b/>
          <w:bCs/>
          <w:sz w:val="52"/>
        </w:rPr>
        <w:br w:type="page"/>
      </w:r>
      <w:r>
        <w:rPr>
          <w:rFonts w:hint="eastAsia"/>
          <w:b/>
          <w:bCs/>
          <w:sz w:val="52"/>
        </w:rPr>
        <w:t>目录</w:t>
      </w:r>
    </w:p>
    <w:p>
      <w:pPr>
        <w:pStyle w:val="28"/>
        <w:tabs>
          <w:tab w:val="right" w:leader="dot" w:pos="8306"/>
        </w:tabs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fldChar w:fldCharType="begin"/>
      </w:r>
      <w:r>
        <w:instrText xml:space="preserve"> HYPERLINK \l _Toc15287 </w:instrText>
      </w:r>
      <w:r>
        <w:fldChar w:fldCharType="separate"/>
      </w:r>
      <w:r>
        <w:rPr>
          <w:rFonts w:hint="eastAsia"/>
        </w:rPr>
        <w:t>固定收益证券估值和分析</w:t>
      </w:r>
      <w:r>
        <w:tab/>
      </w:r>
      <w:r>
        <w:fldChar w:fldCharType="begin"/>
      </w:r>
      <w:r>
        <w:instrText xml:space="preserve"> PAGEREF _Toc15287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33"/>
        <w:tabs>
          <w:tab w:val="right" w:leader="dot" w:pos="8306"/>
        </w:tabs>
      </w:pPr>
      <w:r>
        <w:fldChar w:fldCharType="begin"/>
      </w:r>
      <w:r>
        <w:instrText xml:space="preserve"> HYPERLINK \l _Toc22068 </w:instrText>
      </w:r>
      <w:r>
        <w:fldChar w:fldCharType="separate"/>
      </w:r>
      <w:r>
        <w:rPr>
          <w:rFonts w:hint="eastAsia"/>
          <w:lang w:eastAsia="zh-CN"/>
        </w:rPr>
        <w:t>1 债券</w:t>
      </w:r>
      <w:r>
        <w:tab/>
      </w:r>
      <w:r>
        <w:fldChar w:fldCharType="begin"/>
      </w:r>
      <w:r>
        <w:instrText xml:space="preserve"> PAGEREF _Toc22068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_Toc26620 </w:instrText>
      </w:r>
      <w:r>
        <w:fldChar w:fldCharType="separate"/>
      </w:r>
      <w:r>
        <w:rPr>
          <w:rFonts w:hint="eastAsia"/>
          <w:lang w:eastAsia="zh-CN"/>
        </w:rPr>
        <w:t>1.1货币的时间价值</w:t>
      </w:r>
      <w:r>
        <w:tab/>
      </w:r>
      <w:r>
        <w:fldChar w:fldCharType="begin"/>
      </w:r>
      <w:r>
        <w:instrText xml:space="preserve"> PAGEREF _Toc26620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_Toc23191 </w:instrText>
      </w:r>
      <w:r>
        <w:fldChar w:fldCharType="separate"/>
      </w:r>
      <w:r>
        <w:rPr>
          <w:rFonts w:hint="eastAsia"/>
          <w:lang w:eastAsia="zh-CN"/>
        </w:rPr>
        <w:t>1.2债券收益计量</w:t>
      </w:r>
      <w:r>
        <w:tab/>
      </w:r>
      <w:r>
        <w:fldChar w:fldCharType="begin"/>
      </w:r>
      <w:r>
        <w:instrText xml:space="preserve"> PAGEREF _Toc23191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_Toc26592 </w:instrText>
      </w:r>
      <w:r>
        <w:fldChar w:fldCharType="separate"/>
      </w:r>
      <w:r>
        <w:rPr>
          <w:rFonts w:hint="eastAsia"/>
          <w:lang w:eastAsia="zh-CN"/>
        </w:rPr>
        <w:t>1.3利率的期限结构</w:t>
      </w:r>
      <w:r>
        <w:tab/>
      </w:r>
      <w:r>
        <w:fldChar w:fldCharType="begin"/>
      </w:r>
      <w:r>
        <w:instrText xml:space="preserve"> PAGEREF _Toc26592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_Toc14827 </w:instrText>
      </w:r>
      <w:r>
        <w:fldChar w:fldCharType="separate"/>
      </w:r>
      <w:r>
        <w:rPr>
          <w:rFonts w:hint="eastAsia"/>
          <w:lang w:eastAsia="zh-CN"/>
        </w:rPr>
        <w:t>1.4债券价格分析</w:t>
      </w:r>
      <w:r>
        <w:tab/>
      </w:r>
      <w:r>
        <w:fldChar w:fldCharType="begin"/>
      </w:r>
      <w:r>
        <w:instrText xml:space="preserve"> PAGEREF _Toc14827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_Toc6791 </w:instrText>
      </w:r>
      <w:r>
        <w:fldChar w:fldCharType="separate"/>
      </w:r>
      <w:r>
        <w:rPr>
          <w:rFonts w:hint="eastAsia"/>
          <w:lang w:eastAsia="zh-CN"/>
        </w:rPr>
        <w:t>1.5风险度量</w:t>
      </w:r>
      <w:r>
        <w:tab/>
      </w:r>
      <w:r>
        <w:fldChar w:fldCharType="begin"/>
      </w:r>
      <w:r>
        <w:instrText xml:space="preserve"> PAGEREF _Toc6791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33"/>
        <w:tabs>
          <w:tab w:val="right" w:leader="dot" w:pos="8306"/>
        </w:tabs>
      </w:pPr>
      <w:r>
        <w:fldChar w:fldCharType="begin"/>
      </w:r>
      <w:r>
        <w:instrText xml:space="preserve"> HYPERLINK \l _Toc26411 </w:instrText>
      </w:r>
      <w:r>
        <w:fldChar w:fldCharType="separate"/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混合证券</w:t>
      </w:r>
      <w:r>
        <w:tab/>
      </w:r>
      <w:r>
        <w:fldChar w:fldCharType="begin"/>
      </w:r>
      <w:r>
        <w:instrText xml:space="preserve"> PAGEREF _Toc26411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_Toc7620 </w:instrText>
      </w:r>
      <w:r>
        <w:fldChar w:fldCharType="separate"/>
      </w:r>
      <w:r>
        <w:rPr>
          <w:rFonts w:hint="eastAsia"/>
          <w:lang w:eastAsia="zh-CN"/>
        </w:rPr>
        <w:t>2.1认股权证</w:t>
      </w:r>
      <w:r>
        <w:tab/>
      </w:r>
      <w:r>
        <w:fldChar w:fldCharType="begin"/>
      </w:r>
      <w:r>
        <w:instrText xml:space="preserve"> PAGEREF _Toc7620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_Toc11421 </w:instrText>
      </w:r>
      <w:r>
        <w:fldChar w:fldCharType="separate"/>
      </w:r>
      <w:r>
        <w:rPr>
          <w:rFonts w:hint="eastAsia"/>
          <w:lang w:eastAsia="zh-CN"/>
        </w:rPr>
        <w:t>2.2可转换债券</w:t>
      </w:r>
      <w:r>
        <w:tab/>
      </w:r>
      <w:r>
        <w:fldChar w:fldCharType="begin"/>
      </w:r>
      <w:r>
        <w:instrText xml:space="preserve"> PAGEREF _Toc11421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_Toc3993 </w:instrText>
      </w:r>
      <w:r>
        <w:fldChar w:fldCharType="separate"/>
      </w:r>
      <w:r>
        <w:rPr>
          <w:rFonts w:hint="eastAsia"/>
          <w:lang w:eastAsia="zh-CN"/>
        </w:rPr>
        <w:t>2.3可赎回债券</w:t>
      </w:r>
      <w:r>
        <w:tab/>
      </w:r>
      <w:r>
        <w:fldChar w:fldCharType="begin"/>
      </w:r>
      <w:r>
        <w:instrText xml:space="preserve"> PAGEREF _Toc3993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_Toc449 </w:instrText>
      </w:r>
      <w:r>
        <w:fldChar w:fldCharType="separate"/>
      </w:r>
      <w:r>
        <w:rPr>
          <w:rFonts w:hint="eastAsia"/>
          <w:lang w:eastAsia="zh-CN"/>
        </w:rPr>
        <w:t>2.4 浮动利率债券</w:t>
      </w:r>
      <w:r>
        <w:tab/>
      </w:r>
      <w:r>
        <w:fldChar w:fldCharType="begin"/>
      </w:r>
      <w:r>
        <w:instrText xml:space="preserve"> PAGEREF _Toc449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_Toc15587 </w:instrText>
      </w:r>
      <w:r>
        <w:fldChar w:fldCharType="separate"/>
      </w:r>
      <w:r>
        <w:rPr>
          <w:rFonts w:hint="eastAsia"/>
          <w:lang w:eastAsia="zh-CN"/>
        </w:rPr>
        <w:t>2.5通胀挂钩债券</w:t>
      </w:r>
      <w:r>
        <w:tab/>
      </w:r>
      <w:r>
        <w:fldChar w:fldCharType="begin"/>
      </w:r>
      <w:r>
        <w:instrText xml:space="preserve"> PAGEREF _Toc15587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33"/>
        <w:tabs>
          <w:tab w:val="right" w:leader="dot" w:pos="8306"/>
        </w:tabs>
      </w:pPr>
      <w:r>
        <w:fldChar w:fldCharType="begin"/>
      </w:r>
      <w:r>
        <w:instrText xml:space="preserve"> HYPERLINK \l _Toc28122 </w:instrText>
      </w:r>
      <w:r>
        <w:fldChar w:fldCharType="separate"/>
      </w:r>
      <w:r>
        <w:rPr>
          <w:lang w:eastAsia="zh-CN"/>
        </w:rPr>
        <w:t>3</w:t>
      </w:r>
      <w:r>
        <w:rPr>
          <w:rFonts w:hint="eastAsia"/>
          <w:lang w:eastAsia="zh-CN"/>
        </w:rPr>
        <w:t>固定收益证券组合管理策略</w:t>
      </w:r>
      <w:r>
        <w:tab/>
      </w:r>
      <w:r>
        <w:fldChar w:fldCharType="begin"/>
      </w:r>
      <w:r>
        <w:instrText xml:space="preserve"> PAGEREF _Toc28122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_Toc11859 </w:instrText>
      </w:r>
      <w:r>
        <w:fldChar w:fldCharType="separate"/>
      </w:r>
      <w:r>
        <w:rPr>
          <w:rFonts w:hint="eastAsia"/>
        </w:rPr>
        <w:t>3.1 消极管理</w:t>
      </w:r>
      <w:r>
        <w:tab/>
      </w:r>
      <w:r>
        <w:fldChar w:fldCharType="begin"/>
      </w:r>
      <w:r>
        <w:instrText xml:space="preserve"> PAGEREF _Toc11859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_Toc17282 </w:instrText>
      </w:r>
      <w:r>
        <w:fldChar w:fldCharType="separate"/>
      </w:r>
      <w:r>
        <w:rPr>
          <w:rFonts w:hint="eastAsia"/>
          <w:lang w:eastAsia="zh-CN"/>
        </w:rPr>
        <w:t>3.2计算套期保值比率：修正久期法</w:t>
      </w:r>
      <w:r>
        <w:tab/>
      </w:r>
      <w:r>
        <w:fldChar w:fldCharType="begin"/>
      </w:r>
      <w:r>
        <w:instrText xml:space="preserve"> PAGEREF _Toc17282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8"/>
        <w:tabs>
          <w:tab w:val="right" w:leader="dot" w:pos="8306"/>
        </w:tabs>
      </w:pPr>
      <w:r>
        <w:fldChar w:fldCharType="begin"/>
      </w:r>
      <w:r>
        <w:instrText xml:space="preserve"> HYPERLINK \l _Toc19987 </w:instrText>
      </w:r>
      <w:r>
        <w:fldChar w:fldCharType="separate"/>
      </w:r>
      <w:r>
        <w:rPr>
          <w:rFonts w:hint="eastAsia"/>
        </w:rPr>
        <w:t>衍生产品估值和分析</w:t>
      </w:r>
      <w:r>
        <w:tab/>
      </w:r>
      <w:r>
        <w:fldChar w:fldCharType="begin"/>
      </w:r>
      <w:r>
        <w:instrText xml:space="preserve"> PAGEREF _Toc19987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33"/>
        <w:tabs>
          <w:tab w:val="right" w:leader="dot" w:pos="8306"/>
        </w:tabs>
      </w:pPr>
      <w:r>
        <w:fldChar w:fldCharType="begin"/>
      </w:r>
      <w:r>
        <w:instrText xml:space="preserve"> HYPERLINK \l _Toc9776 </w:instrText>
      </w:r>
      <w:r>
        <w:fldChar w:fldCharType="separate"/>
      </w:r>
      <w:r>
        <w:rPr>
          <w:lang w:eastAsia="zh-CN"/>
        </w:rPr>
        <w:t>1</w:t>
      </w:r>
      <w:r>
        <w:rPr>
          <w:rFonts w:hint="eastAsia"/>
          <w:lang w:eastAsia="zh-CN"/>
        </w:rPr>
        <w:t>金融市场和工具</w:t>
      </w:r>
      <w:r>
        <w:tab/>
      </w:r>
      <w:r>
        <w:fldChar w:fldCharType="begin"/>
      </w:r>
      <w:r>
        <w:instrText xml:space="preserve"> PAGEREF _Toc9776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_Toc29655 </w:instrText>
      </w:r>
      <w:r>
        <w:fldChar w:fldCharType="separate"/>
      </w:r>
      <w:r>
        <w:rPr>
          <w:lang w:eastAsia="zh-CN"/>
        </w:rPr>
        <w:t>1.1</w:t>
      </w:r>
      <w:r>
        <w:rPr>
          <w:rFonts w:hint="eastAsia"/>
          <w:lang w:eastAsia="zh-CN"/>
        </w:rPr>
        <w:t>互换</w:t>
      </w:r>
      <w:r>
        <w:tab/>
      </w:r>
      <w:r>
        <w:fldChar w:fldCharType="begin"/>
      </w:r>
      <w:r>
        <w:instrText xml:space="preserve"> PAGEREF _Toc29655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_Toc4249 </w:instrText>
      </w:r>
      <w:r>
        <w:fldChar w:fldCharType="separate"/>
      </w:r>
      <w:r>
        <w:rPr>
          <w:rFonts w:hint="eastAsia"/>
          <w:lang w:eastAsia="zh-CN"/>
        </w:rPr>
        <w:t>1.2 信用违约互换（CDS）</w:t>
      </w:r>
      <w:r>
        <w:tab/>
      </w:r>
      <w:r>
        <w:fldChar w:fldCharType="begin"/>
      </w:r>
      <w:r>
        <w:instrText xml:space="preserve"> PAGEREF _Toc4249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33"/>
        <w:tabs>
          <w:tab w:val="right" w:leader="dot" w:pos="8306"/>
        </w:tabs>
      </w:pPr>
      <w:r>
        <w:fldChar w:fldCharType="begin"/>
      </w:r>
      <w:r>
        <w:instrText xml:space="preserve"> HYPERLINK \l _Toc21027 </w:instrText>
      </w:r>
      <w:r>
        <w:fldChar w:fldCharType="separate"/>
      </w:r>
      <w:r>
        <w:rPr>
          <w:rFonts w:hint="eastAsia"/>
          <w:lang w:eastAsia="zh-CN"/>
        </w:rPr>
        <w:t>2 衍生产品和其他产品的分析</w:t>
      </w:r>
      <w:r>
        <w:tab/>
      </w:r>
      <w:r>
        <w:fldChar w:fldCharType="begin"/>
      </w:r>
      <w:r>
        <w:instrText xml:space="preserve"> PAGEREF _Toc21027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_Toc2885 </w:instrText>
      </w:r>
      <w:r>
        <w:fldChar w:fldCharType="separate"/>
      </w:r>
      <w:r>
        <w:rPr>
          <w:lang w:eastAsia="zh-CN"/>
        </w:rPr>
        <w:t>2.1</w:t>
      </w:r>
      <w:r>
        <w:rPr>
          <w:rFonts w:hint="eastAsia"/>
          <w:lang w:eastAsia="zh-CN"/>
        </w:rPr>
        <w:t>期货</w:t>
      </w:r>
      <w:r>
        <w:tab/>
      </w:r>
      <w:r>
        <w:fldChar w:fldCharType="begin"/>
      </w:r>
      <w:r>
        <w:instrText xml:space="preserve"> PAGEREF _Toc2885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_Toc22283 </w:instrText>
      </w:r>
      <w:r>
        <w:fldChar w:fldCharType="separate"/>
      </w:r>
      <w:r>
        <w:rPr>
          <w:rFonts w:hint="eastAsia"/>
          <w:lang w:eastAsia="zh-CN"/>
        </w:rPr>
        <w:t>2.2期权</w:t>
      </w:r>
      <w:r>
        <w:tab/>
      </w:r>
      <w:r>
        <w:fldChar w:fldCharType="begin"/>
      </w:r>
      <w:r>
        <w:instrText xml:space="preserve"> PAGEREF _Toc22283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_Toc31974 </w:instrText>
      </w:r>
      <w:r>
        <w:fldChar w:fldCharType="separate"/>
      </w:r>
      <w:r>
        <w:rPr>
          <w:rFonts w:hint="eastAsia"/>
          <w:lang w:eastAsia="zh-CN"/>
        </w:rPr>
        <w:t>2.3标准正态分布: CDF 表</w:t>
      </w:r>
      <w:r>
        <w:tab/>
      </w:r>
      <w:r>
        <w:fldChar w:fldCharType="begin"/>
      </w:r>
      <w:r>
        <w:instrText xml:space="preserve"> PAGEREF _Toc31974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28"/>
        <w:tabs>
          <w:tab w:val="right" w:leader="dot" w:pos="8306"/>
        </w:tabs>
      </w:pPr>
      <w:r>
        <w:fldChar w:fldCharType="begin"/>
      </w:r>
      <w:r>
        <w:instrText xml:space="preserve"> HYPERLINK \l _Toc25535 </w:instrText>
      </w:r>
      <w:r>
        <w:fldChar w:fldCharType="separate"/>
      </w:r>
      <w:r>
        <w:rPr>
          <w:rFonts w:hint="eastAsia"/>
        </w:rPr>
        <w:t>投资组合管理</w:t>
      </w:r>
      <w:r>
        <w:tab/>
      </w:r>
      <w:r>
        <w:fldChar w:fldCharType="begin"/>
      </w:r>
      <w:r>
        <w:instrText xml:space="preserve"> PAGEREF _Toc25535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33"/>
        <w:tabs>
          <w:tab w:val="right" w:leader="dot" w:pos="8306"/>
        </w:tabs>
      </w:pPr>
      <w:r>
        <w:fldChar w:fldCharType="begin"/>
      </w:r>
      <w:r>
        <w:instrText xml:space="preserve"> HYPERLINK \l _Toc2596 </w:instrText>
      </w:r>
      <w:r>
        <w:fldChar w:fldCharType="separate"/>
      </w:r>
      <w:r>
        <w:rPr>
          <w:lang w:eastAsia="zh-CN"/>
        </w:rPr>
        <w:t>1</w:t>
      </w:r>
      <w:r>
        <w:rPr>
          <w:rFonts w:hint="eastAsia"/>
          <w:lang w:eastAsia="zh-CN"/>
        </w:rPr>
        <w:t xml:space="preserve"> 现代投资组合理论</w:t>
      </w:r>
      <w:r>
        <w:tab/>
      </w:r>
      <w:r>
        <w:fldChar w:fldCharType="begin"/>
      </w:r>
      <w:r>
        <w:instrText xml:space="preserve"> PAGEREF _Toc2596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_Toc6554 </w:instrText>
      </w:r>
      <w:r>
        <w:fldChar w:fldCharType="separate"/>
      </w:r>
      <w:r>
        <w:rPr>
          <w:rFonts w:hint="eastAsia"/>
          <w:lang w:eastAsia="zh-CN"/>
        </w:rPr>
        <w:t>1.1风险/回报框架</w:t>
      </w:r>
      <w:r>
        <w:tab/>
      </w:r>
      <w:r>
        <w:fldChar w:fldCharType="begin"/>
      </w:r>
      <w:r>
        <w:instrText xml:space="preserve"> PAGEREF _Toc6554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_Toc26871 </w:instrText>
      </w:r>
      <w:r>
        <w:fldChar w:fldCharType="separate"/>
      </w:r>
      <w:r>
        <w:rPr>
          <w:rFonts w:hint="eastAsia"/>
          <w:lang w:eastAsia="zh-CN"/>
        </w:rPr>
        <w:t>1.2风险的测量</w:t>
      </w:r>
      <w:r>
        <w:tab/>
      </w:r>
      <w:r>
        <w:fldChar w:fldCharType="begin"/>
      </w:r>
      <w:r>
        <w:instrText xml:space="preserve"> PAGEREF _Toc26871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_Toc12435 </w:instrText>
      </w:r>
      <w:r>
        <w:fldChar w:fldCharType="separate"/>
      </w:r>
      <w:r>
        <w:rPr>
          <w:rFonts w:hint="eastAsia"/>
          <w:lang w:eastAsia="zh-CN"/>
        </w:rPr>
        <w:t>1.3投资组合理论</w:t>
      </w:r>
      <w:r>
        <w:tab/>
      </w:r>
      <w:r>
        <w:fldChar w:fldCharType="begin"/>
      </w:r>
      <w:r>
        <w:instrText xml:space="preserve"> PAGEREF _Toc12435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_Toc27605 </w:instrText>
      </w:r>
      <w:r>
        <w:fldChar w:fldCharType="separate"/>
      </w:r>
      <w:r>
        <w:rPr>
          <w:rFonts w:hint="eastAsia"/>
          <w:lang w:eastAsia="zh-CN"/>
        </w:rPr>
        <w:t>1.4资本资产定价模型（CAPM）</w:t>
      </w:r>
      <w:r>
        <w:tab/>
      </w:r>
      <w:r>
        <w:fldChar w:fldCharType="begin"/>
      </w:r>
      <w:r>
        <w:instrText xml:space="preserve"> PAGEREF _Toc27605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33"/>
        <w:tabs>
          <w:tab w:val="right" w:leader="dot" w:pos="8306"/>
        </w:tabs>
      </w:pPr>
      <w:r>
        <w:fldChar w:fldCharType="begin"/>
      </w:r>
      <w:r>
        <w:instrText xml:space="preserve"> HYPERLINK \l _Toc10812 </w:instrText>
      </w:r>
      <w:r>
        <w:fldChar w:fldCharType="separate"/>
      </w:r>
      <w:r>
        <w:rPr>
          <w:rFonts w:hint="eastAsia"/>
          <w:lang w:eastAsia="zh-CN"/>
        </w:rPr>
        <w:t>2 套利定价理论（A</w:t>
      </w:r>
      <w:r>
        <w:rPr>
          <w:lang w:eastAsia="zh-CN"/>
        </w:rPr>
        <w:t>PT</w:t>
      </w:r>
      <w:r>
        <w:rPr>
          <w:rFonts w:hint="eastAsia"/>
          <w:lang w:eastAsia="zh-CN"/>
        </w:rPr>
        <w:t>）</w:t>
      </w:r>
      <w:r>
        <w:tab/>
      </w:r>
      <w:r>
        <w:fldChar w:fldCharType="begin"/>
      </w:r>
      <w:r>
        <w:instrText xml:space="preserve"> PAGEREF _Toc10812 \h </w:instrText>
      </w:r>
      <w:r>
        <w:fldChar w:fldCharType="separate"/>
      </w:r>
      <w:r>
        <w:t>44</w:t>
      </w:r>
      <w:r>
        <w:fldChar w:fldCharType="end"/>
      </w:r>
      <w:r>
        <w:fldChar w:fldCharType="end"/>
      </w:r>
    </w:p>
    <w:p>
      <w:pPr>
        <w:pStyle w:val="33"/>
        <w:tabs>
          <w:tab w:val="right" w:leader="dot" w:pos="8306"/>
        </w:tabs>
      </w:pPr>
      <w:r>
        <w:fldChar w:fldCharType="begin"/>
      </w:r>
      <w:r>
        <w:instrText xml:space="preserve"> HYPERLINK \l _Toc30759 </w:instrText>
      </w:r>
      <w:r>
        <w:fldChar w:fldCharType="separate"/>
      </w:r>
      <w:r>
        <w:rPr>
          <w:rFonts w:hint="eastAsia" w:cs="Arial"/>
          <w:lang w:eastAsia="zh-CN"/>
        </w:rPr>
        <w:t>3资产/负债分析和管理</w:t>
      </w:r>
      <w:r>
        <w:tab/>
      </w:r>
      <w:r>
        <w:fldChar w:fldCharType="begin"/>
      </w:r>
      <w:r>
        <w:instrText xml:space="preserve"> PAGEREF _Toc30759 \h </w:instrText>
      </w:r>
      <w:r>
        <w:fldChar w:fldCharType="separate"/>
      </w:r>
      <w:r>
        <w:t>44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_Toc1578 </w:instrText>
      </w:r>
      <w:r>
        <w:fldChar w:fldCharType="separate"/>
      </w:r>
      <w:r>
        <w:rPr>
          <w:rFonts w:hint="eastAsia" w:cs="Arial"/>
          <w:szCs w:val="24"/>
          <w:lang w:eastAsia="zh-CN"/>
        </w:rPr>
        <w:t>3.1</w:t>
      </w:r>
      <w:r>
        <w:rPr>
          <w:rFonts w:hint="eastAsia" w:cs="Arial"/>
          <w:szCs w:val="24"/>
          <w:lang w:val="en-US" w:eastAsia="zh-CN"/>
        </w:rPr>
        <w:t xml:space="preserve">  </w:t>
      </w:r>
      <w:r>
        <w:rPr>
          <w:rFonts w:hint="eastAsia" w:cs="Arial"/>
          <w:szCs w:val="24"/>
          <w:lang w:eastAsia="zh-CN"/>
        </w:rPr>
        <w:t>负债评估</w:t>
      </w:r>
      <w:r>
        <w:tab/>
      </w:r>
      <w:r>
        <w:fldChar w:fldCharType="begin"/>
      </w:r>
      <w:r>
        <w:instrText xml:space="preserve"> PAGEREF _Toc1578 \h </w:instrText>
      </w:r>
      <w:r>
        <w:fldChar w:fldCharType="separate"/>
      </w:r>
      <w:r>
        <w:t>44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_Toc11059 </w:instrText>
      </w:r>
      <w:r>
        <w:fldChar w:fldCharType="separate"/>
      </w:r>
      <w:r>
        <w:rPr>
          <w:rFonts w:hint="eastAsia" w:cs="Arial"/>
          <w:szCs w:val="24"/>
          <w:lang w:eastAsia="zh-CN"/>
        </w:rPr>
        <w:t>3.2  盈余和注资比率</w:t>
      </w:r>
      <w:r>
        <w:tab/>
      </w:r>
      <w:r>
        <w:fldChar w:fldCharType="begin"/>
      </w:r>
      <w:r>
        <w:instrText xml:space="preserve"> PAGEREF _Toc11059 \h </w:instrText>
      </w:r>
      <w:r>
        <w:fldChar w:fldCharType="separate"/>
      </w:r>
      <w:r>
        <w:t>45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_Toc3857 </w:instrText>
      </w:r>
      <w:r>
        <w:fldChar w:fldCharType="separate"/>
      </w:r>
      <w:r>
        <w:rPr>
          <w:rFonts w:hint="eastAsia" w:cs="Arial"/>
          <w:szCs w:val="24"/>
          <w:lang w:eastAsia="zh-CN"/>
        </w:rPr>
        <w:t>3.3</w:t>
      </w:r>
      <w:r>
        <w:rPr>
          <w:rFonts w:hint="eastAsia" w:cs="Arial"/>
          <w:szCs w:val="24"/>
          <w:lang w:val="en-US" w:eastAsia="zh-CN"/>
        </w:rPr>
        <w:t xml:space="preserve">  </w:t>
      </w:r>
      <w:r>
        <w:rPr>
          <w:rFonts w:hint="eastAsia" w:cs="Arial"/>
          <w:szCs w:val="24"/>
          <w:lang w:eastAsia="zh-CN"/>
        </w:rPr>
        <w:t>资产负债管理策略的实施</w:t>
      </w:r>
      <w:r>
        <w:tab/>
      </w:r>
      <w:r>
        <w:fldChar w:fldCharType="begin"/>
      </w:r>
      <w:r>
        <w:instrText xml:space="preserve"> PAGEREF _Toc3857 \h </w:instrText>
      </w:r>
      <w:r>
        <w:fldChar w:fldCharType="separate"/>
      </w:r>
      <w:r>
        <w:t>46</w:t>
      </w:r>
      <w:r>
        <w:fldChar w:fldCharType="end"/>
      </w:r>
      <w:r>
        <w:fldChar w:fldCharType="end"/>
      </w:r>
    </w:p>
    <w:p>
      <w:pPr>
        <w:pStyle w:val="33"/>
        <w:tabs>
          <w:tab w:val="right" w:leader="dot" w:pos="8306"/>
        </w:tabs>
      </w:pPr>
      <w:r>
        <w:fldChar w:fldCharType="begin"/>
      </w:r>
      <w:r>
        <w:instrText xml:space="preserve"> HYPERLINK \l _Toc27130 </w:instrText>
      </w:r>
      <w:r>
        <w:fldChar w:fldCharType="separate"/>
      </w:r>
      <w:r>
        <w:rPr>
          <w:rFonts w:hint="eastAsia" w:cs="Arial"/>
          <w:lang w:eastAsia="zh-CN"/>
        </w:rPr>
        <w:t>4    对冲策略</w:t>
      </w:r>
      <w:r>
        <w:tab/>
      </w:r>
      <w:r>
        <w:fldChar w:fldCharType="begin"/>
      </w:r>
      <w:r>
        <w:instrText xml:space="preserve"> PAGEREF _Toc27130 \h </w:instrText>
      </w:r>
      <w:r>
        <w:fldChar w:fldCharType="separate"/>
      </w:r>
      <w:r>
        <w:t>47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_Toc1890 </w:instrText>
      </w:r>
      <w:r>
        <w:fldChar w:fldCharType="separate"/>
      </w:r>
      <w:r>
        <w:rPr>
          <w:rFonts w:hint="eastAsia" w:cs="Arial"/>
          <w:szCs w:val="24"/>
          <w:lang w:eastAsia="zh-CN"/>
        </w:rPr>
        <w:t>4.1  利用股票指数期货的对冲</w:t>
      </w:r>
      <w:r>
        <w:tab/>
      </w:r>
      <w:r>
        <w:fldChar w:fldCharType="begin"/>
      </w:r>
      <w:r>
        <w:instrText xml:space="preserve"> PAGEREF _Toc1890 \h </w:instrText>
      </w:r>
      <w:r>
        <w:fldChar w:fldCharType="separate"/>
      </w:r>
      <w:r>
        <w:t>47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_Toc8117 </w:instrText>
      </w:r>
      <w:r>
        <w:fldChar w:fldCharType="separate"/>
      </w:r>
      <w:r>
        <w:rPr>
          <w:rFonts w:hint="eastAsia" w:cs="Arial"/>
          <w:szCs w:val="24"/>
          <w:lang w:eastAsia="zh-CN"/>
        </w:rPr>
        <w:t>4</w:t>
      </w:r>
      <w:r>
        <w:rPr>
          <w:rFonts w:cs="Arial"/>
          <w:szCs w:val="24"/>
          <w:lang w:eastAsia="zh-CN"/>
        </w:rPr>
        <w:t xml:space="preserve">.2 </w:t>
      </w:r>
      <w:r>
        <w:rPr>
          <w:rFonts w:hint="eastAsia" w:cs="Arial"/>
          <w:szCs w:val="24"/>
          <w:lang w:val="en-US" w:eastAsia="zh-CN"/>
        </w:rPr>
        <w:t xml:space="preserve"> </w:t>
      </w:r>
      <w:r>
        <w:rPr>
          <w:rFonts w:hint="eastAsia" w:cs="Arial"/>
          <w:szCs w:val="24"/>
          <w:lang w:eastAsia="zh-CN"/>
        </w:rPr>
        <w:t>利用利率期货和互换的对冲</w:t>
      </w:r>
      <w:r>
        <w:tab/>
      </w:r>
      <w:r>
        <w:fldChar w:fldCharType="begin"/>
      </w:r>
      <w:r>
        <w:instrText xml:space="preserve"> PAGEREF _Toc8117 \h </w:instrText>
      </w:r>
      <w:r>
        <w:fldChar w:fldCharType="separate"/>
      </w:r>
      <w:r>
        <w:t>48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_Toc21581 </w:instrText>
      </w:r>
      <w:r>
        <w:fldChar w:fldCharType="separate"/>
      </w:r>
      <w:r>
        <w:rPr>
          <w:rFonts w:cs="Arial"/>
          <w:szCs w:val="24"/>
          <w:lang w:eastAsia="zh-CN"/>
        </w:rPr>
        <w:t xml:space="preserve">4.3   </w:t>
      </w:r>
      <w:r>
        <w:rPr>
          <w:rFonts w:hint="eastAsia" w:cs="Arial"/>
          <w:szCs w:val="24"/>
          <w:lang w:eastAsia="zh-CN"/>
        </w:rPr>
        <w:t>静态投资组合保险</w:t>
      </w:r>
      <w:r>
        <w:tab/>
      </w:r>
      <w:r>
        <w:fldChar w:fldCharType="begin"/>
      </w:r>
      <w:r>
        <w:instrText xml:space="preserve"> PAGEREF _Toc21581 \h </w:instrText>
      </w:r>
      <w:r>
        <w:fldChar w:fldCharType="separate"/>
      </w:r>
      <w:r>
        <w:t>49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_Toc4158 </w:instrText>
      </w:r>
      <w:r>
        <w:fldChar w:fldCharType="separate"/>
      </w:r>
      <w:r>
        <w:rPr>
          <w:szCs w:val="24"/>
          <w:lang w:eastAsia="zh-CN"/>
        </w:rPr>
        <w:t xml:space="preserve">4.4   </w:t>
      </w:r>
      <w:r>
        <w:rPr>
          <w:rFonts w:hint="eastAsia"/>
          <w:szCs w:val="24"/>
          <w:lang w:eastAsia="zh-CN"/>
        </w:rPr>
        <w:t>动态投资组合保险</w:t>
      </w:r>
      <w:r>
        <w:tab/>
      </w:r>
      <w:r>
        <w:fldChar w:fldCharType="begin"/>
      </w:r>
      <w:r>
        <w:instrText xml:space="preserve"> PAGEREF _Toc4158 \h </w:instrText>
      </w:r>
      <w:r>
        <w:fldChar w:fldCharType="separate"/>
      </w:r>
      <w:r>
        <w:t>50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_Toc6124 </w:instrText>
      </w:r>
      <w:r>
        <w:fldChar w:fldCharType="separate"/>
      </w:r>
      <w:r>
        <w:rPr>
          <w:szCs w:val="24"/>
          <w:lang w:eastAsia="zh-CN"/>
        </w:rPr>
        <w:t xml:space="preserve">4.5   </w:t>
      </w:r>
      <w:r>
        <w:rPr>
          <w:rFonts w:hint="eastAsia"/>
          <w:szCs w:val="24"/>
          <w:lang w:eastAsia="zh-CN"/>
        </w:rPr>
        <w:t>恒定比例组合保险（CPP）</w:t>
      </w:r>
      <w:r>
        <w:tab/>
      </w:r>
      <w:r>
        <w:fldChar w:fldCharType="begin"/>
      </w:r>
      <w:r>
        <w:instrText xml:space="preserve"> PAGEREF _Toc6124 \h </w:instrText>
      </w:r>
      <w:r>
        <w:fldChar w:fldCharType="separate"/>
      </w:r>
      <w:r>
        <w:t>52</w:t>
      </w:r>
      <w:r>
        <w:fldChar w:fldCharType="end"/>
      </w:r>
      <w:r>
        <w:fldChar w:fldCharType="end"/>
      </w:r>
    </w:p>
    <w:p>
      <w:pPr>
        <w:pStyle w:val="33"/>
        <w:tabs>
          <w:tab w:val="right" w:leader="dot" w:pos="8306"/>
        </w:tabs>
      </w:pPr>
      <w:r>
        <w:fldChar w:fldCharType="begin"/>
      </w:r>
      <w:r>
        <w:instrText xml:space="preserve"> HYPERLINK \l _Toc13393 </w:instrText>
      </w:r>
      <w:r>
        <w:fldChar w:fldCharType="separate"/>
      </w:r>
      <w:r>
        <w:rPr>
          <w:lang w:eastAsia="zh-CN"/>
        </w:rPr>
        <w:t xml:space="preserve">5      </w:t>
      </w:r>
      <w:r>
        <w:rPr>
          <w:rFonts w:hint="eastAsia"/>
          <w:lang w:eastAsia="zh-CN"/>
        </w:rPr>
        <w:t>股票管理组合</w:t>
      </w:r>
      <w:r>
        <w:tab/>
      </w:r>
      <w:r>
        <w:fldChar w:fldCharType="begin"/>
      </w:r>
      <w:r>
        <w:instrText xml:space="preserve"> PAGEREF _Toc13393 \h </w:instrText>
      </w:r>
      <w:r>
        <w:fldChar w:fldCharType="separate"/>
      </w:r>
      <w:r>
        <w:t>53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_Toc21256 </w:instrText>
      </w:r>
      <w:r>
        <w:fldChar w:fldCharType="separate"/>
      </w:r>
      <w:r>
        <w:rPr>
          <w:rFonts w:cs="Arial"/>
          <w:szCs w:val="24"/>
          <w:lang w:eastAsia="zh-CN"/>
        </w:rPr>
        <w:t>5.1</w:t>
      </w:r>
      <w:r>
        <w:rPr>
          <w:rFonts w:hint="eastAsia" w:cs="Arial"/>
          <w:szCs w:val="24"/>
          <w:lang w:eastAsia="zh-CN"/>
        </w:rPr>
        <w:t>多因素模型方法</w:t>
      </w:r>
      <w:r>
        <w:tab/>
      </w:r>
      <w:r>
        <w:fldChar w:fldCharType="begin"/>
      </w:r>
      <w:r>
        <w:instrText xml:space="preserve"> PAGEREF _Toc21256 \h </w:instrText>
      </w:r>
      <w:r>
        <w:fldChar w:fldCharType="separate"/>
      </w:r>
      <w:r>
        <w:t>53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_Toc12447 </w:instrText>
      </w:r>
      <w:r>
        <w:fldChar w:fldCharType="separate"/>
      </w:r>
      <w:r>
        <w:rPr>
          <w:rFonts w:cs="Arial"/>
          <w:szCs w:val="24"/>
          <w:lang w:eastAsia="zh-CN"/>
        </w:rPr>
        <w:t>5.2</w:t>
      </w:r>
      <w:r>
        <w:rPr>
          <w:rFonts w:hint="eastAsia" w:cs="Arial"/>
          <w:szCs w:val="24"/>
          <w:lang w:eastAsia="zh-CN"/>
        </w:rPr>
        <w:t>积极管理</w:t>
      </w:r>
      <w:r>
        <w:tab/>
      </w:r>
      <w:r>
        <w:fldChar w:fldCharType="begin"/>
      </w:r>
      <w:r>
        <w:instrText xml:space="preserve"> PAGEREF _Toc12447 \h </w:instrText>
      </w:r>
      <w:r>
        <w:fldChar w:fldCharType="separate"/>
      </w:r>
      <w:r>
        <w:t>56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  <w:ind w:left="0" w:leftChars="0" w:firstLine="420" w:firstLineChars="200"/>
      </w:pPr>
      <w:r>
        <w:fldChar w:fldCharType="begin"/>
      </w:r>
      <w:r>
        <w:instrText xml:space="preserve"> HYPERLINK \l _Toc27221 </w:instrText>
      </w:r>
      <w:r>
        <w:fldChar w:fldCharType="separate"/>
      </w:r>
      <w:r>
        <w:rPr>
          <w:rFonts w:hint="eastAsia"/>
          <w:lang w:eastAsia="zh-CN"/>
        </w:rPr>
        <w:t>6</w:t>
      </w:r>
      <w:r>
        <w:rPr>
          <w:lang w:eastAsia="zh-CN"/>
        </w:rPr>
        <w:t xml:space="preserve">    </w:t>
      </w:r>
      <w:r>
        <w:rPr>
          <w:rFonts w:hint="eastAsia"/>
          <w:lang w:eastAsia="zh-CN"/>
        </w:rPr>
        <w:t>业绩测量</w:t>
      </w:r>
      <w:r>
        <w:tab/>
      </w:r>
      <w:r>
        <w:fldChar w:fldCharType="begin"/>
      </w:r>
      <w:r>
        <w:instrText xml:space="preserve"> PAGEREF _Toc27221 \h </w:instrText>
      </w:r>
      <w:r>
        <w:fldChar w:fldCharType="separate"/>
      </w:r>
      <w:r>
        <w:t>57</w:t>
      </w:r>
      <w:r>
        <w:fldChar w:fldCharType="end"/>
      </w:r>
      <w:r>
        <w:fldChar w:fldCharType="end"/>
      </w:r>
    </w:p>
    <w:p>
      <w:pPr>
        <w:pStyle w:val="21"/>
        <w:tabs>
          <w:tab w:val="right" w:leader="dot" w:pos="8306"/>
        </w:tabs>
      </w:pPr>
      <w:r>
        <w:fldChar w:fldCharType="begin"/>
      </w:r>
      <w:r>
        <w:instrText xml:space="preserve"> HYPERLINK \l _Toc1712 </w:instrText>
      </w:r>
      <w:r>
        <w:fldChar w:fldCharType="separate"/>
      </w:r>
      <w:r>
        <w:rPr>
          <w:rFonts w:cs="Arial"/>
          <w:szCs w:val="24"/>
          <w:lang w:eastAsia="zh-CN"/>
        </w:rPr>
        <w:t xml:space="preserve">6.1   </w:t>
      </w:r>
      <w:r>
        <w:rPr>
          <w:rFonts w:hint="eastAsia" w:cs="Arial"/>
          <w:szCs w:val="24"/>
          <w:lang w:eastAsia="zh-CN"/>
        </w:rPr>
        <w:t>业绩测量和评估</w:t>
      </w:r>
      <w:r>
        <w:tab/>
      </w:r>
      <w:r>
        <w:fldChar w:fldCharType="begin"/>
      </w:r>
      <w:r>
        <w:instrText xml:space="preserve"> PAGEREF _Toc1712 \h </w:instrText>
      </w:r>
      <w:r>
        <w:fldChar w:fldCharType="separate"/>
      </w:r>
      <w:r>
        <w:t>57</w:t>
      </w:r>
      <w:r>
        <w:fldChar w:fldCharType="end"/>
      </w:r>
      <w:r>
        <w:fldChar w:fldCharType="end"/>
      </w:r>
    </w:p>
    <w:p>
      <w:pPr>
        <w:pStyle w:val="2"/>
      </w:pPr>
      <w:r>
        <w:fldChar w:fldCharType="end"/>
      </w:r>
      <w:bookmarkStart w:id="0" w:name="_Toc15287"/>
      <w:r>
        <w:br w:type="page"/>
      </w:r>
      <w:r>
        <w:rPr>
          <w:rFonts w:hint="eastAsia"/>
        </w:rPr>
        <w:t>固定收益证券估值和分析</w:t>
      </w:r>
      <w:bookmarkEnd w:id="0"/>
    </w:p>
    <w:p>
      <w:pPr>
        <w:pStyle w:val="3"/>
        <w:rPr>
          <w:lang w:eastAsia="zh-CN"/>
        </w:rPr>
      </w:pPr>
      <w:bookmarkStart w:id="1" w:name="_Toc22068"/>
      <w:r>
        <w:rPr>
          <w:rFonts w:hint="eastAsia"/>
          <w:lang w:eastAsia="zh-CN"/>
        </w:rPr>
        <w:t>1 债券</w:t>
      </w:r>
      <w:bookmarkEnd w:id="1"/>
    </w:p>
    <w:p>
      <w:pPr>
        <w:pStyle w:val="4"/>
        <w:rPr>
          <w:lang w:eastAsia="zh-CN"/>
        </w:rPr>
      </w:pPr>
      <w:bookmarkStart w:id="2" w:name="_Toc26620"/>
      <w:r>
        <w:rPr>
          <w:rFonts w:hint="eastAsia"/>
          <w:lang w:eastAsia="zh-CN"/>
        </w:rPr>
        <w:t>1.1货币的时间价值</w:t>
      </w:r>
      <w:bookmarkEnd w:id="2"/>
    </w:p>
    <w:p>
      <w:pPr>
        <w:pStyle w:val="5"/>
        <w:rPr>
          <w:lang w:eastAsia="zh-CN"/>
        </w:rPr>
      </w:pPr>
      <w:r>
        <w:rPr>
          <w:rFonts w:hint="eastAsia"/>
          <w:lang w:eastAsia="zh-CN"/>
        </w:rPr>
        <w:t>1.1.1 现值和终值</w:t>
      </w:r>
    </w:p>
    <w:p>
      <w:pPr>
        <w:pStyle w:val="6"/>
      </w:pPr>
      <w:r>
        <w:rPr>
          <w:rFonts w:hint="eastAsia"/>
        </w:rPr>
        <w:t>简单的折现和复利</w:t>
      </w:r>
    </w:p>
    <w:p>
      <w:pPr>
        <w:jc w:val="center"/>
        <w:rPr>
          <w:color w:val="FF0000"/>
        </w:rPr>
      </w:pPr>
      <w:r>
        <w:rPr>
          <w:color w:val="FF0000"/>
          <w:position w:val="-24"/>
        </w:rPr>
        <w:object>
          <v:shape id="_x0000_i1025" o:spt="75" type="#_x0000_t75" style="height:30.65pt;width:69.9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</w:p>
    <w:p>
      <w:pPr>
        <w:jc w:val="center"/>
        <w:rPr>
          <w:color w:val="FF0000"/>
          <w:position w:val="-8"/>
        </w:rPr>
      </w:pPr>
      <w:r>
        <w:rPr>
          <w:color w:val="FF0000"/>
          <w:position w:val="-6"/>
        </w:rPr>
        <w:object>
          <v:shape id="_x0000_i1026" o:spt="75" type="#_x0000_t75" style="height:16.35pt;width:96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</w:pPr>
      <w:r>
        <w:t>PV</w:t>
      </w:r>
      <w:r>
        <w:rPr>
          <w:rFonts w:hint="eastAsia"/>
        </w:rPr>
        <w:t xml:space="preserve">   </w:t>
      </w:r>
      <w:r>
        <w:tab/>
      </w:r>
      <w:r>
        <w:rPr>
          <w:rFonts w:hint="eastAsia"/>
        </w:rPr>
        <w:t>现值</w:t>
      </w:r>
    </w:p>
    <w:p>
      <w:pPr>
        <w:ind w:firstLine="435"/>
      </w:pPr>
      <w:r>
        <w:t>FV</w:t>
      </w:r>
      <w:r>
        <w:rPr>
          <w:rFonts w:hint="eastAsia"/>
        </w:rPr>
        <w:t xml:space="preserve">   </w:t>
      </w:r>
      <w:r>
        <w:tab/>
      </w:r>
      <w:r>
        <w:rPr>
          <w:rFonts w:hint="eastAsia"/>
        </w:rPr>
        <w:t>终值</w:t>
      </w:r>
    </w:p>
    <w:p>
      <w:pPr>
        <w:ind w:firstLine="435"/>
      </w:pPr>
      <w:r>
        <w:t>R</w:t>
      </w:r>
      <w:r>
        <w:rPr>
          <w:rFonts w:hint="eastAsia"/>
        </w:rPr>
        <w:t xml:space="preserve">    </w:t>
      </w:r>
      <w:r>
        <w:tab/>
      </w:r>
      <w:r>
        <w:rPr>
          <w:rFonts w:hint="eastAsia"/>
        </w:rPr>
        <w:t>年化利率</w:t>
      </w:r>
    </w:p>
    <w:p>
      <w:pPr>
        <w:ind w:firstLine="435"/>
      </w:pPr>
      <w:r>
        <w:rPr>
          <w:rFonts w:hint="eastAsia"/>
        </w:rPr>
        <w:t>n</w:t>
      </w:r>
      <w:r>
        <w:t xml:space="preserve">    </w:t>
      </w:r>
      <w:r>
        <w:tab/>
      </w:r>
      <w:r>
        <w:rPr>
          <w:rFonts w:hint="eastAsia"/>
        </w:rPr>
        <w:t>年数</w:t>
      </w:r>
    </w:p>
    <w:p>
      <w:pPr>
        <w:ind w:firstLine="435"/>
      </w:pPr>
    </w:p>
    <w:p>
      <w:pPr>
        <w:pStyle w:val="6"/>
      </w:pPr>
      <w:r>
        <w:rPr>
          <w:rFonts w:hint="eastAsia"/>
        </w:rPr>
        <w:t>年金的现值计算式</w:t>
      </w:r>
    </w:p>
    <w:p>
      <w:pPr>
        <w:jc w:val="center"/>
        <w:rPr>
          <w:position w:val="-30"/>
        </w:rPr>
      </w:pPr>
      <w:r>
        <w:rPr>
          <w:rFonts w:hint="eastAsia"/>
          <w:position w:val="-28"/>
        </w:rPr>
        <w:object>
          <v:shape id="_x0000_i1027" o:spt="75" type="#_x0000_t75" style="height:33.7pt;width:188.9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</w:pPr>
      <w:r>
        <w:rPr>
          <w:rFonts w:hint="eastAsia"/>
        </w:rPr>
        <w:t xml:space="preserve">CF   </w:t>
      </w:r>
      <w:r>
        <w:tab/>
      </w:r>
      <w:r>
        <w:rPr>
          <w:rFonts w:hint="eastAsia"/>
        </w:rPr>
        <w:t>稳定的现金流</w:t>
      </w:r>
    </w:p>
    <w:p>
      <w:pPr>
        <w:ind w:firstLine="435"/>
      </w:pPr>
      <w:r>
        <w:rPr>
          <w:rFonts w:hint="eastAsia"/>
        </w:rPr>
        <w:t xml:space="preserve">R    </w:t>
      </w:r>
      <w:r>
        <w:tab/>
      </w:r>
      <w:r>
        <w:rPr>
          <w:rFonts w:hint="eastAsia"/>
        </w:rPr>
        <w:t>折现率，假定一直稳定</w:t>
      </w:r>
    </w:p>
    <w:p>
      <w:pPr>
        <w:ind w:firstLine="435"/>
      </w:pPr>
      <w:r>
        <w:rPr>
          <w:rFonts w:hint="eastAsia"/>
        </w:rPr>
        <w:t xml:space="preserve">n    </w:t>
      </w:r>
      <w:r>
        <w:tab/>
      </w:r>
      <w:r>
        <w:rPr>
          <w:rFonts w:hint="eastAsia"/>
        </w:rPr>
        <w:t>现金流的次数</w:t>
      </w:r>
    </w:p>
    <w:p/>
    <w:p>
      <w:pPr>
        <w:pStyle w:val="6"/>
      </w:pPr>
      <w:r>
        <w:rPr>
          <w:rFonts w:hint="eastAsia"/>
        </w:rPr>
        <w:t>年金的终值计算式</w:t>
      </w:r>
    </w:p>
    <w:p>
      <w:pPr>
        <w:jc w:val="center"/>
      </w:pPr>
    </w:p>
    <w:p>
      <w:pPr>
        <w:jc w:val="center"/>
      </w:pPr>
      <w:r>
        <w:rPr>
          <w:position w:val="-32"/>
        </w:rPr>
        <w:object>
          <v:shape id="_x0000_i1028" o:spt="75" type="#_x0000_t75" style="height:39.85pt;width:124.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</w:pPr>
      <w:r>
        <w:rPr>
          <w:rFonts w:hint="eastAsia"/>
        </w:rPr>
        <w:t xml:space="preserve">CF   </w:t>
      </w:r>
      <w:r>
        <w:tab/>
      </w:r>
      <w:r>
        <w:rPr>
          <w:rFonts w:hint="eastAsia"/>
        </w:rPr>
        <w:t>稳定的现金流</w:t>
      </w:r>
    </w:p>
    <w:p>
      <w:pPr>
        <w:ind w:firstLine="435"/>
      </w:pPr>
      <w:r>
        <w:rPr>
          <w:rFonts w:hint="eastAsia"/>
        </w:rPr>
        <w:t xml:space="preserve">R    </w:t>
      </w:r>
      <w:r>
        <w:tab/>
      </w:r>
      <w:r>
        <w:rPr>
          <w:rFonts w:hint="eastAsia"/>
        </w:rPr>
        <w:t>折现率，假定一直稳定</w:t>
      </w:r>
    </w:p>
    <w:p>
      <w:pPr>
        <w:ind w:firstLine="435"/>
      </w:pPr>
      <w:r>
        <w:rPr>
          <w:rFonts w:hint="eastAsia"/>
        </w:rPr>
        <w:t xml:space="preserve">n    </w:t>
      </w:r>
      <w:r>
        <w:tab/>
      </w:r>
      <w:r>
        <w:rPr>
          <w:rFonts w:hint="eastAsia"/>
        </w:rPr>
        <w:t>现金流的次数</w:t>
      </w:r>
    </w:p>
    <w:p/>
    <w:p>
      <w:pPr>
        <w:pStyle w:val="5"/>
        <w:rPr>
          <w:lang w:eastAsia="zh-CN"/>
        </w:rPr>
      </w:pPr>
      <w:r>
        <w:rPr>
          <w:rFonts w:hint="eastAsia"/>
          <w:lang w:eastAsia="zh-CN"/>
        </w:rPr>
        <w:t>1.1.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连续贴现和复利终值</w:t>
      </w:r>
    </w:p>
    <w:p>
      <w:pPr>
        <w:jc w:val="center"/>
      </w:pPr>
      <w:r>
        <w:rPr>
          <w:position w:val="-24"/>
        </w:rPr>
        <w:object>
          <v:shape id="_x0000_i1029" o:spt="75" type="#_x0000_t75" style="height:31.65pt;width:50.0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</w:p>
    <w:p>
      <w:pPr>
        <w:jc w:val="center"/>
        <w:rPr>
          <w:position w:val="-8"/>
        </w:rPr>
      </w:pPr>
      <w:r>
        <w:rPr>
          <w:position w:val="-6"/>
        </w:rPr>
        <w:object>
          <v:shape id="_x0000_i1030" o:spt="75" type="#_x0000_t75" style="height:16.35pt;width:77.1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</w:pPr>
      <w:r>
        <w:t>PV</w:t>
      </w:r>
      <w:r>
        <w:rPr>
          <w:rFonts w:hint="eastAsia"/>
        </w:rPr>
        <w:t xml:space="preserve">   </w:t>
      </w:r>
      <w:r>
        <w:tab/>
      </w:r>
      <w:r>
        <w:rPr>
          <w:rFonts w:hint="eastAsia"/>
        </w:rPr>
        <w:t>现值</w:t>
      </w:r>
    </w:p>
    <w:p>
      <w:pPr>
        <w:ind w:firstLine="435"/>
      </w:pPr>
      <w:r>
        <w:t>FV</w:t>
      </w:r>
      <w:r>
        <w:rPr>
          <w:rFonts w:hint="eastAsia"/>
        </w:rPr>
        <w:t xml:space="preserve">   </w:t>
      </w:r>
      <w:r>
        <w:tab/>
      </w:r>
      <w:r>
        <w:rPr>
          <w:rFonts w:hint="eastAsia"/>
        </w:rPr>
        <w:t>终值</w:t>
      </w:r>
    </w:p>
    <w:p>
      <w:pPr>
        <w:ind w:firstLine="435"/>
      </w:pPr>
      <w:r>
        <w:t>n</w:t>
      </w:r>
      <w:r>
        <w:tab/>
      </w:r>
      <w:r>
        <w:t xml:space="preserve">  </w:t>
      </w:r>
      <w:r>
        <w:tab/>
      </w:r>
      <w:r>
        <w:rPr>
          <w:rFonts w:hint="eastAsia"/>
        </w:rPr>
        <w:t>年数</w:t>
      </w:r>
    </w:p>
    <w:p>
      <w:pPr>
        <w:ind w:left="15" w:firstLine="420" w:firstLineChars="200"/>
      </w:pPr>
      <w:r>
        <w:rPr>
          <w:rFonts w:hint="eastAsia"/>
        </w:rPr>
        <w:t xml:space="preserve">r    </w:t>
      </w:r>
      <w:r>
        <w:t xml:space="preserve"> </w:t>
      </w:r>
      <w:r>
        <w:tab/>
      </w:r>
      <w:r>
        <w:rPr>
          <w:rFonts w:hint="eastAsia"/>
        </w:rPr>
        <w:t>年化连续复利利率</w:t>
      </w:r>
    </w:p>
    <w:p/>
    <w:p>
      <w:pPr>
        <w:pStyle w:val="4"/>
        <w:rPr>
          <w:lang w:eastAsia="zh-CN"/>
        </w:rPr>
      </w:pPr>
      <w:bookmarkStart w:id="3" w:name="_Toc23191"/>
      <w:r>
        <w:rPr>
          <w:rFonts w:hint="eastAsia"/>
          <w:lang w:eastAsia="zh-CN"/>
        </w:rPr>
        <w:t>1.2债券收益计量</w:t>
      </w:r>
      <w:bookmarkEnd w:id="3"/>
    </w:p>
    <w:p>
      <w:pPr>
        <w:pStyle w:val="6"/>
      </w:pPr>
      <w:r>
        <w:rPr>
          <w:rFonts w:hint="eastAsia"/>
        </w:rPr>
        <w:t>当期收益率</w:t>
      </w:r>
    </w:p>
    <w:p>
      <w:pPr>
        <w:jc w:val="center"/>
      </w:pPr>
      <w:r>
        <w:rPr>
          <w:position w:val="-26"/>
        </w:rPr>
        <w:object>
          <v:shape id="_x0000_i1031" o:spt="75" type="#_x0000_t75" style="height:33.7pt;width:123.5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</w:p>
    <w:p/>
    <w:p>
      <w:pPr>
        <w:pStyle w:val="5"/>
        <w:rPr>
          <w:lang w:eastAsia="zh-CN"/>
        </w:rPr>
      </w:pPr>
      <w:r>
        <w:rPr>
          <w:lang w:eastAsia="zh-CN"/>
        </w:rPr>
        <w:t>1.2.1</w:t>
      </w:r>
      <w:r>
        <w:rPr>
          <w:rFonts w:hint="eastAsia"/>
          <w:lang w:eastAsia="zh-CN"/>
        </w:rPr>
        <w:t>到期收益率</w:t>
      </w:r>
    </w:p>
    <w:p>
      <w:r>
        <w:rPr>
          <w:rFonts w:hint="eastAsia"/>
        </w:rPr>
        <w:t>债券价格作为到期收益率的函数，其计算式如下</w:t>
      </w:r>
    </w:p>
    <w:p>
      <w:pPr>
        <w:jc w:val="center"/>
      </w:pPr>
      <w:r>
        <w:rPr>
          <w:position w:val="-32"/>
          <w:sz w:val="20"/>
        </w:rPr>
        <w:object>
          <v:shape id="_x0000_i1032" o:spt="75" type="#_x0000_t75" style="height:35.25pt;width:264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</w:pPr>
      <w:r>
        <w:rPr>
          <w:rFonts w:hint="eastAsia"/>
        </w:rPr>
        <w:t>P</w:t>
      </w:r>
      <w:r>
        <w:rPr>
          <w:rFonts w:hint="eastAsia"/>
          <w:szCs w:val="21"/>
          <w:vertAlign w:val="subscript"/>
        </w:rPr>
        <w:t xml:space="preserve">0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</w:rPr>
        <w:t>当前</w:t>
      </w:r>
      <w:r>
        <w:rPr>
          <w:rFonts w:hint="eastAsia"/>
          <w:szCs w:val="21"/>
        </w:rPr>
        <w:t>支付</w:t>
      </w:r>
      <w:r>
        <w:rPr>
          <w:rFonts w:hint="eastAsia"/>
        </w:rPr>
        <w:t>的债券价格（包括应计利息）</w:t>
      </w:r>
    </w:p>
    <w:p>
      <w:pPr>
        <w:ind w:firstLine="435"/>
        <w:rPr>
          <w:szCs w:val="21"/>
        </w:rPr>
      </w:pPr>
      <w:r>
        <w:rPr>
          <w:rFonts w:hint="eastAsia"/>
        </w:rPr>
        <w:t>CF</w:t>
      </w:r>
      <w:r>
        <w:rPr>
          <w:szCs w:val="21"/>
          <w:vertAlign w:val="subscript"/>
        </w:rPr>
        <w:t>t</w:t>
      </w:r>
      <w:r>
        <w:rPr>
          <w:rFonts w:hint="eastAsia"/>
          <w:szCs w:val="21"/>
          <w:vertAlign w:val="subscript"/>
        </w:rPr>
        <w:t xml:space="preserve">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在t时刻收到的现金（息票利息）</w:t>
      </w:r>
    </w:p>
    <w:p>
      <w:pPr>
        <w:ind w:firstLine="435"/>
      </w:pPr>
      <w:r>
        <w:rPr>
          <w:rFonts w:hint="eastAsia"/>
        </w:rPr>
        <w:t xml:space="preserve">Y   </w:t>
      </w:r>
      <w:r>
        <w:tab/>
      </w:r>
      <w:r>
        <w:rPr>
          <w:rFonts w:hint="eastAsia"/>
        </w:rPr>
        <w:t>到期收益率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CF</w:t>
      </w:r>
      <w:r>
        <w:rPr>
          <w:rFonts w:hint="eastAsia"/>
          <w:szCs w:val="21"/>
          <w:vertAlign w:val="subscript"/>
        </w:rPr>
        <w:t xml:space="preserve">n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在偿还日</w:t>
      </w:r>
      <w:r>
        <w:rPr>
          <w:szCs w:val="21"/>
        </w:rPr>
        <w:t>n</w:t>
      </w:r>
      <w:r>
        <w:rPr>
          <w:rFonts w:hint="eastAsia"/>
          <w:szCs w:val="21"/>
        </w:rPr>
        <w:t>时刻收到的现金（息票利息和本金）</w:t>
      </w:r>
    </w:p>
    <w:p>
      <w:pPr>
        <w:ind w:firstLine="435"/>
        <w:rPr>
          <w:szCs w:val="21"/>
        </w:rPr>
      </w:pPr>
      <w:r>
        <w:rPr>
          <w:szCs w:val="21"/>
        </w:rPr>
        <w:t>n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rFonts w:hint="eastAsia"/>
          <w:szCs w:val="21"/>
        </w:rPr>
        <w:t>现金流的次数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t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时间</w:t>
      </w:r>
    </w:p>
    <w:p>
      <w:pPr>
        <w:ind w:firstLine="435"/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对于每年付息一次的债券，在两个付息日之间，债券价格计算式为</w:t>
      </w:r>
    </w:p>
    <w:p>
      <w:pPr>
        <w:jc w:val="center"/>
        <w:rPr>
          <w:szCs w:val="21"/>
        </w:rPr>
      </w:pPr>
      <w:r>
        <w:rPr>
          <w:position w:val="-36"/>
        </w:rPr>
        <w:object>
          <v:shape id="_x0000_i1033" o:spt="75" type="#_x0000_t75" style="height:43.4pt;width:311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</w:pP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 xml:space="preserve">cum, f   </w:t>
      </w:r>
      <w:r>
        <w:rPr>
          <w:szCs w:val="21"/>
          <w:vertAlign w:val="subscript"/>
        </w:rPr>
        <w:tab/>
      </w:r>
      <w:r>
        <w:rPr>
          <w:rFonts w:hint="eastAsia"/>
        </w:rPr>
        <w:t>当前</w:t>
      </w:r>
      <w:r>
        <w:rPr>
          <w:rFonts w:hint="eastAsia"/>
          <w:szCs w:val="21"/>
        </w:rPr>
        <w:t>支付</w:t>
      </w:r>
      <w:r>
        <w:rPr>
          <w:rFonts w:hint="eastAsia"/>
        </w:rPr>
        <w:t>的债券价格（包括应计利息）</w:t>
      </w:r>
    </w:p>
    <w:p>
      <w:pPr>
        <w:ind w:firstLine="435"/>
        <w:rPr>
          <w:szCs w:val="21"/>
        </w:rPr>
      </w:pPr>
      <w:r>
        <w:rPr>
          <w:rFonts w:hint="eastAsia"/>
        </w:rPr>
        <w:t>P</w:t>
      </w:r>
      <w:r>
        <w:rPr>
          <w:rFonts w:hint="eastAsia"/>
          <w:szCs w:val="21"/>
          <w:vertAlign w:val="subscript"/>
        </w:rPr>
        <w:t xml:space="preserve">ex，f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债券的报价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f      </w:t>
      </w:r>
      <w:r>
        <w:rPr>
          <w:szCs w:val="21"/>
        </w:rPr>
        <w:tab/>
      </w:r>
      <w:r>
        <w:rPr>
          <w:rFonts w:hint="eastAsia"/>
          <w:szCs w:val="21"/>
        </w:rPr>
        <w:t>上一次付息日距当前的年数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C</w:t>
      </w:r>
      <w:r>
        <w:rPr>
          <w:szCs w:val="21"/>
        </w:rPr>
        <w:tab/>
      </w:r>
      <w:r>
        <w:rPr>
          <w:szCs w:val="21"/>
        </w:rPr>
        <w:t xml:space="preserve">   </w:t>
      </w:r>
      <w:r>
        <w:rPr>
          <w:szCs w:val="21"/>
        </w:rPr>
        <w:tab/>
      </w:r>
      <w:r>
        <w:rPr>
          <w:rFonts w:hint="eastAsia"/>
          <w:szCs w:val="21"/>
        </w:rPr>
        <w:t>息票</w:t>
      </w:r>
    </w:p>
    <w:p>
      <w:pPr>
        <w:ind w:firstLine="435"/>
      </w:pPr>
      <w:r>
        <w:rPr>
          <w:rFonts w:hint="eastAsia"/>
        </w:rPr>
        <w:t xml:space="preserve">Y     </w:t>
      </w:r>
      <w:r>
        <w:tab/>
      </w:r>
      <w:r>
        <w:rPr>
          <w:rFonts w:hint="eastAsia"/>
        </w:rPr>
        <w:t>到期收益率</w:t>
      </w:r>
    </w:p>
    <w:p>
      <w:pPr>
        <w:ind w:firstLine="435"/>
        <w:rPr>
          <w:szCs w:val="21"/>
        </w:rPr>
      </w:pPr>
      <w:r>
        <w:rPr>
          <w:rFonts w:hint="eastAsia"/>
        </w:rPr>
        <w:t>CF</w:t>
      </w:r>
      <w:r>
        <w:rPr>
          <w:rFonts w:hint="eastAsia"/>
          <w:szCs w:val="21"/>
          <w:vertAlign w:val="subscript"/>
        </w:rPr>
        <w:t xml:space="preserve">i 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</w:t>
      </w:r>
      <w:r>
        <w:rPr>
          <w:rFonts w:hint="eastAsia"/>
          <w:szCs w:val="21"/>
          <w:vertAlign w:val="subscript"/>
        </w:rPr>
        <w:t>i</w:t>
      </w:r>
      <w:r>
        <w:rPr>
          <w:rFonts w:hint="eastAsia"/>
          <w:szCs w:val="21"/>
        </w:rPr>
        <w:t>时刻收到的现金（息票利息）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CF</w:t>
      </w:r>
      <w:r>
        <w:rPr>
          <w:szCs w:val="21"/>
          <w:vertAlign w:val="subscript"/>
        </w:rPr>
        <w:t>n</w:t>
      </w:r>
      <w:r>
        <w:rPr>
          <w:rFonts w:hint="eastAsia"/>
          <w:szCs w:val="21"/>
          <w:vertAlign w:val="subscript"/>
        </w:rPr>
        <w:t xml:space="preserve">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最终现金流（利息加本金）</w:t>
      </w:r>
    </w:p>
    <w:p>
      <w:pPr>
        <w:ind w:firstLine="435"/>
        <w:rPr>
          <w:szCs w:val="21"/>
        </w:rPr>
      </w:pPr>
      <w:r>
        <w:rPr>
          <w:szCs w:val="21"/>
        </w:rPr>
        <w:t>n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ab/>
      </w:r>
      <w:r>
        <w:rPr>
          <w:rFonts w:hint="eastAsia"/>
          <w:szCs w:val="21"/>
        </w:rPr>
        <w:t>现金流的次数</w:t>
      </w:r>
    </w:p>
    <w:p>
      <w:pPr>
        <w:ind w:firstLine="435"/>
        <w:rPr>
          <w:szCs w:val="21"/>
        </w:rPr>
      </w:pPr>
    </w:p>
    <w:p>
      <w:pPr>
        <w:pStyle w:val="6"/>
      </w:pPr>
      <w:r>
        <w:rPr>
          <w:rFonts w:hint="eastAsia"/>
        </w:rPr>
        <w:t>日式到期收益率</w:t>
      </w:r>
    </w:p>
    <w:p>
      <w:pPr>
        <w:jc w:val="center"/>
        <w:rPr>
          <w:szCs w:val="21"/>
        </w:rPr>
      </w:pPr>
      <w:r>
        <w:rPr>
          <w:position w:val="-26"/>
        </w:rPr>
        <w:object>
          <v:shape id="_x0000_i1034" o:spt="75" type="#_x0000_t75" style="height:48.5pt;width:244.6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</w:p>
    <w:p/>
    <w:p>
      <w:pPr>
        <w:pStyle w:val="6"/>
      </w:pPr>
      <w:r>
        <w:rPr>
          <w:rFonts w:hint="eastAsia"/>
        </w:rPr>
        <w:t>赎回收益率</w:t>
      </w:r>
    </w:p>
    <w:p>
      <w:pPr>
        <w:ind w:firstLine="435"/>
        <w:jc w:val="center"/>
        <w:rPr>
          <w:szCs w:val="21"/>
        </w:rPr>
      </w:pPr>
      <w:r>
        <w:rPr>
          <w:position w:val="-32"/>
        </w:rPr>
        <w:object>
          <v:shape id="_x0000_i1035" o:spt="75" type="#_x0000_t75" style="height:36.75pt;width:291.5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 w:firstLineChars="200"/>
        <w:rPr>
          <w:szCs w:val="21"/>
        </w:rPr>
      </w:pPr>
      <w:r>
        <w:rPr>
          <w:rFonts w:hint="eastAsia"/>
        </w:rPr>
        <w:t>P</w:t>
      </w:r>
      <w:r>
        <w:rPr>
          <w:rFonts w:hint="eastAsia"/>
          <w:szCs w:val="21"/>
          <w:vertAlign w:val="subscript"/>
        </w:rPr>
        <w:t>0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</w:rPr>
        <w:t>当前</w:t>
      </w:r>
      <w:r>
        <w:rPr>
          <w:rFonts w:hint="eastAsia"/>
          <w:szCs w:val="21"/>
        </w:rPr>
        <w:t>支付</w:t>
      </w:r>
      <w:r>
        <w:rPr>
          <w:rFonts w:hint="eastAsia"/>
        </w:rPr>
        <w:t>的债券价格（包括应计利息）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Yc</w:t>
      </w:r>
      <w:r>
        <w:rPr>
          <w:szCs w:val="21"/>
        </w:rPr>
        <w:t>all</w:t>
      </w:r>
      <w:r>
        <w:rPr>
          <w:szCs w:val="21"/>
        </w:rPr>
        <w:tab/>
      </w:r>
      <w:r>
        <w:rPr>
          <w:rFonts w:hint="eastAsia"/>
          <w:szCs w:val="21"/>
        </w:rPr>
        <w:t>赎回收益率</w:t>
      </w:r>
    </w:p>
    <w:p>
      <w:pPr>
        <w:ind w:firstLine="435"/>
        <w:rPr>
          <w:szCs w:val="21"/>
        </w:rPr>
      </w:pPr>
      <w:r>
        <w:rPr>
          <w:rFonts w:hint="eastAsia"/>
        </w:rPr>
        <w:t>CF</w:t>
      </w:r>
      <w:r>
        <w:rPr>
          <w:szCs w:val="21"/>
          <w:vertAlign w:val="subscript"/>
        </w:rPr>
        <w:t>t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在t时刻收到的现金（息票利息）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CF</w:t>
      </w:r>
      <w:r>
        <w:rPr>
          <w:szCs w:val="21"/>
          <w:vertAlign w:val="subscript"/>
        </w:rPr>
        <w:t>n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在赎回日t</w:t>
      </w:r>
      <w:r>
        <w:rPr>
          <w:rFonts w:hint="eastAsia"/>
          <w:szCs w:val="21"/>
          <w:vertAlign w:val="subscript"/>
        </w:rPr>
        <w:t>N</w:t>
      </w:r>
      <w:r>
        <w:rPr>
          <w:rFonts w:hint="eastAsia"/>
          <w:szCs w:val="21"/>
        </w:rPr>
        <w:t>时刻收到的现金（息票利息和本金）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n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到赎回日止现金流的次数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t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时间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  <w:vertAlign w:val="subscript"/>
        </w:rPr>
        <w:t>call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赎回日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平均存续期收益率（Y</w:t>
      </w:r>
      <w:r>
        <w:rPr>
          <w:vertAlign w:val="subscript"/>
        </w:rPr>
        <w:t>AL</w:t>
      </w:r>
      <w:r>
        <w:rPr>
          <w:rFonts w:hint="eastAsia"/>
        </w:rPr>
        <w:t>）</w:t>
      </w:r>
    </w:p>
    <w:p>
      <w:pPr>
        <w:pStyle w:val="5"/>
        <w:jc w:val="center"/>
        <w:rPr>
          <w:lang w:eastAsia="zh-CN"/>
        </w:rPr>
      </w:pPr>
      <w:r>
        <w:rPr>
          <w:position w:val="-30"/>
        </w:rPr>
        <w:object>
          <v:shape id="_x0000_i1036" o:spt="75" type="#_x0000_t75" style="height:34.7pt;width:137.8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</w:pPr>
      <w:r>
        <w:rPr>
          <w:rFonts w:hint="eastAsia"/>
        </w:rPr>
        <w:t>AL</w:t>
      </w:r>
      <w:r>
        <w:tab/>
      </w:r>
      <w:r>
        <w:tab/>
      </w:r>
      <w:r>
        <w:rPr>
          <w:rFonts w:hint="eastAsia"/>
        </w:rPr>
        <w:t>以年表示的平均存续期或加权平均的到期期限</w:t>
      </w:r>
    </w:p>
    <w:p>
      <w:pPr>
        <w:ind w:firstLine="435"/>
        <w:jc w:val="center"/>
        <w:rPr>
          <w:position w:val="-28"/>
        </w:rPr>
      </w:pPr>
      <w:r>
        <w:rPr>
          <w:position w:val="-28"/>
        </w:rPr>
        <w:object>
          <v:shape id="_x0000_i1037" o:spt="75" type="#_x0000_t75" style="height:33.7pt;width:160.3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</w:p>
    <w:p>
      <w:pPr>
        <w:ind w:firstLine="435"/>
        <w:rPr>
          <w:szCs w:val="21"/>
        </w:rPr>
      </w:pPr>
      <w:r>
        <w:rPr>
          <w:rFonts w:hint="eastAsia"/>
        </w:rPr>
        <w:t>CF</w:t>
      </w:r>
      <w:r>
        <w:rPr>
          <w:szCs w:val="21"/>
          <w:vertAlign w:val="subscript"/>
        </w:rPr>
        <w:t>t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在t时刻收到的现金（息票利息）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Y</w:t>
      </w:r>
      <w:r>
        <w:rPr>
          <w:szCs w:val="21"/>
          <w:vertAlign w:val="subscript"/>
        </w:rPr>
        <w:t>AL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平均存续期收益率</w:t>
      </w:r>
    </w:p>
    <w:p>
      <w:pPr>
        <w:ind w:firstLine="435"/>
        <w:rPr>
          <w:szCs w:val="21"/>
        </w:rPr>
      </w:pPr>
      <w:r>
        <w:rPr>
          <w:szCs w:val="21"/>
        </w:rPr>
        <w:t>T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时间</w:t>
      </w:r>
    </w:p>
    <w:p>
      <w:pPr>
        <w:ind w:firstLine="435"/>
        <w:jc w:val="center"/>
        <w:rPr>
          <w:szCs w:val="21"/>
        </w:rPr>
      </w:pPr>
    </w:p>
    <w:p/>
    <w:p>
      <w:pPr>
        <w:pStyle w:val="6"/>
      </w:pPr>
      <w:r>
        <w:rPr>
          <w:rFonts w:hint="eastAsia"/>
        </w:rPr>
        <w:t>即期利率和远期利率的关系</w:t>
      </w:r>
    </w:p>
    <w:p>
      <w:pPr>
        <w:ind w:firstLine="435"/>
        <w:jc w:val="center"/>
        <w:rPr>
          <w:szCs w:val="21"/>
        </w:rPr>
      </w:pPr>
      <w:r>
        <w:rPr>
          <w:position w:val="-14"/>
        </w:rPr>
        <w:object>
          <v:shape id="_x0000_i1038" o:spt="75" type="#_x0000_t75" style="height:30.15pt;width:247.6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0，t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从0到t时段的年化即期利率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0，1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从0到1时段的年化即期利率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 xml:space="preserve">t-1,t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从t-1到t时段的年化远期利率</w:t>
      </w:r>
    </w:p>
    <w:p>
      <w:pPr>
        <w:ind w:firstLine="435"/>
        <w:rPr>
          <w:szCs w:val="21"/>
        </w:rPr>
      </w:pPr>
      <w:r>
        <w:rPr>
          <w:szCs w:val="21"/>
        </w:rPr>
        <w:t>t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时间</w:t>
      </w:r>
    </w:p>
    <w:p>
      <w:pPr>
        <w:ind w:firstLine="435"/>
        <w:jc w:val="center"/>
        <w:rPr>
          <w:szCs w:val="21"/>
        </w:rPr>
      </w:pPr>
      <w:r>
        <w:rPr>
          <w:position w:val="-38"/>
        </w:rPr>
        <w:object>
          <v:shape id="_x0000_i1039" o:spt="75" type="#_x0000_t75" style="height:51.05pt;width:332.95pt;" o:ole="t" filled="t" o:preferrelative="t" stroked="f" coordsize="21600,21600">
            <v:path/>
            <v:fill on="t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position w:val="-14"/>
          <w:sz w:val="22"/>
        </w:rPr>
        <w:object>
          <v:shape id="_x0000_i1040" o:spt="75" type="#_x0000_t75" style="height:18.9pt;width:21.9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  <w:r>
        <w:rPr>
          <w:position w:val="-14"/>
          <w:sz w:val="22"/>
        </w:rPr>
        <w:tab/>
      </w:r>
      <w:r>
        <w:rPr>
          <w:rFonts w:hint="eastAsia"/>
          <w:szCs w:val="21"/>
        </w:rPr>
        <w:t>从0到t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时段的年化即期利率</w:t>
      </w:r>
    </w:p>
    <w:p>
      <w:pPr>
        <w:ind w:firstLine="435"/>
        <w:rPr>
          <w:szCs w:val="21"/>
        </w:rPr>
      </w:pPr>
      <w:r>
        <w:rPr>
          <w:position w:val="-14"/>
          <w:sz w:val="22"/>
        </w:rPr>
        <w:object>
          <v:shape id="_x0000_i1041" o:spt="75" type="#_x0000_t75" style="height:18.9pt;width:24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8">
            <o:LockedField>false</o:LockedField>
          </o:OLEObject>
        </w:object>
      </w:r>
      <w:r>
        <w:rPr>
          <w:position w:val="-14"/>
          <w:sz w:val="22"/>
        </w:rPr>
        <w:tab/>
      </w:r>
      <w:r>
        <w:rPr>
          <w:rFonts w:hint="eastAsia"/>
          <w:szCs w:val="21"/>
        </w:rPr>
        <w:t>从0到t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时段的年化即期利率</w:t>
      </w:r>
    </w:p>
    <w:p>
      <w:pPr>
        <w:ind w:firstLine="435"/>
        <w:rPr>
          <w:szCs w:val="21"/>
        </w:rPr>
      </w:pPr>
      <w:r>
        <w:rPr>
          <w:position w:val="-14"/>
          <w:sz w:val="22"/>
        </w:rPr>
        <w:object>
          <v:shape id="_x0000_i1042" o:spt="75" type="#_x0000_t75" style="height:18.9pt;width:24pt;" o:ole="t" filled="t" o:preferrelative="t" stroked="f" coordsize="21600,21600">
            <v:path/>
            <v:fill on="t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0">
            <o:LockedField>false</o:LockedField>
          </o:OLEObject>
        </w:object>
      </w:r>
      <w:r>
        <w:rPr>
          <w:position w:val="-14"/>
          <w:sz w:val="22"/>
        </w:rPr>
        <w:tab/>
      </w:r>
      <w:r>
        <w:rPr>
          <w:rFonts w:hint="eastAsia"/>
          <w:szCs w:val="21"/>
        </w:rPr>
        <w:t>从t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到t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时段的年化远期利率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t</w:t>
      </w:r>
      <w:r>
        <w:rPr>
          <w:szCs w:val="21"/>
          <w:vertAlign w:val="subscript"/>
        </w:rPr>
        <w:t>1</w:t>
      </w:r>
      <w:r>
        <w:rPr>
          <w:szCs w:val="21"/>
        </w:rPr>
        <w:t>,t</w:t>
      </w:r>
      <w:r>
        <w:rPr>
          <w:szCs w:val="21"/>
          <w:vertAlign w:val="subscript"/>
        </w:rPr>
        <w:t>2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时间</w:t>
      </w:r>
    </w:p>
    <w:p>
      <w:pPr>
        <w:rPr>
          <w:szCs w:val="21"/>
        </w:rPr>
      </w:pPr>
    </w:p>
    <w:p>
      <w:pPr>
        <w:pStyle w:val="4"/>
        <w:rPr>
          <w:lang w:eastAsia="zh-CN"/>
        </w:rPr>
      </w:pPr>
      <w:bookmarkStart w:id="4" w:name="_Toc26592"/>
      <w:r>
        <w:rPr>
          <w:rFonts w:hint="eastAsia"/>
          <w:lang w:eastAsia="zh-CN"/>
        </w:rPr>
        <w:t>1.3利率的期限结构</w:t>
      </w:r>
      <w:bookmarkEnd w:id="4"/>
    </w:p>
    <w:p>
      <w:pPr>
        <w:pStyle w:val="5"/>
        <w:rPr>
          <w:lang w:eastAsia="zh-CN"/>
        </w:rPr>
      </w:pPr>
      <w:r>
        <w:rPr>
          <w:rFonts w:hint="eastAsia"/>
          <w:lang w:eastAsia="zh-CN"/>
        </w:rPr>
        <w:t>1.3.1 期限结构理论</w:t>
      </w:r>
    </w:p>
    <w:p>
      <w:pPr>
        <w:pStyle w:val="6"/>
      </w:pPr>
      <w:r>
        <w:rPr>
          <w:rFonts w:hint="eastAsia"/>
        </w:rPr>
        <w:t>预期假说</w:t>
      </w:r>
    </w:p>
    <w:p>
      <w:pPr>
        <w:jc w:val="center"/>
        <w:rPr>
          <w:szCs w:val="21"/>
        </w:rPr>
      </w:pPr>
      <w:r>
        <w:object>
          <v:shape id="_x0000_i1043" o:spt="75" type="#_x0000_t75" style="height:21.95pt;width:78.6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2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40" w:firstLineChars="200"/>
        <w:rPr>
          <w:szCs w:val="21"/>
        </w:rPr>
      </w:pPr>
      <w:r>
        <w:rPr>
          <w:position w:val="-14"/>
          <w:sz w:val="22"/>
        </w:rPr>
        <w:object>
          <v:shape id="_x0000_i1044" o:spt="75" type="#_x0000_t75" style="height:18.9pt;width:24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4">
            <o:LockedField>false</o:LockedField>
          </o:OLEObject>
        </w:object>
      </w:r>
      <w:r>
        <w:rPr>
          <w:position w:val="-14"/>
          <w:sz w:val="22"/>
        </w:rPr>
        <w:tab/>
      </w:r>
      <w:r>
        <w:rPr>
          <w:rFonts w:hint="eastAsia"/>
          <w:szCs w:val="21"/>
        </w:rPr>
        <w:t>从t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到t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时段的远期利率</w:t>
      </w:r>
    </w:p>
    <w:p>
      <w:pPr>
        <w:autoSpaceDE w:val="0"/>
        <w:autoSpaceDN w:val="0"/>
        <w:adjustRightInd w:val="0"/>
        <w:ind w:firstLine="440" w:firstLineChars="200"/>
        <w:jc w:val="left"/>
        <w:rPr>
          <w:iCs/>
          <w:kern w:val="0"/>
          <w:sz w:val="23"/>
          <w:szCs w:val="23"/>
        </w:rPr>
      </w:pPr>
      <w:r>
        <w:rPr>
          <w:i/>
          <w:iCs/>
          <w:sz w:val="22"/>
        </w:rPr>
        <w:t>E(.)</w:t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rFonts w:hint="eastAsia"/>
          <w:iCs/>
          <w:kern w:val="0"/>
          <w:sz w:val="23"/>
          <w:szCs w:val="23"/>
        </w:rPr>
        <w:t>预期函数</w:t>
      </w:r>
    </w:p>
    <w:p>
      <w:pPr>
        <w:ind w:firstLine="440" w:firstLineChars="200"/>
        <w:rPr>
          <w:szCs w:val="21"/>
        </w:rPr>
      </w:pPr>
      <w:r>
        <w:rPr>
          <w:position w:val="-14"/>
          <w:sz w:val="22"/>
        </w:rPr>
        <w:object>
          <v:shape id="_x0000_i1045" o:spt="75" type="#_x0000_t75" style="height:21.95pt;width:24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6">
            <o:LockedField>false</o:LockedField>
          </o:OLEObject>
        </w:object>
      </w:r>
      <w:r>
        <w:rPr>
          <w:position w:val="-14"/>
          <w:sz w:val="22"/>
        </w:rPr>
        <w:tab/>
      </w:r>
      <w:r>
        <w:rPr>
          <w:rFonts w:hint="eastAsia"/>
          <w:szCs w:val="21"/>
        </w:rPr>
        <w:t>从t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到t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时段的随机即期利率</w:t>
      </w:r>
    </w:p>
    <w:p>
      <w:pPr>
        <w:rPr>
          <w:iCs/>
          <w:kern w:val="0"/>
          <w:sz w:val="23"/>
          <w:szCs w:val="23"/>
        </w:rPr>
      </w:pPr>
    </w:p>
    <w:p>
      <w:pPr>
        <w:pStyle w:val="6"/>
      </w:pPr>
      <w:r>
        <w:rPr>
          <w:rFonts w:hint="eastAsia"/>
        </w:rPr>
        <w:t>流动性偏好理论</w:t>
      </w:r>
    </w:p>
    <w:p>
      <w:pPr>
        <w:jc w:val="center"/>
        <w:rPr>
          <w:szCs w:val="21"/>
        </w:rPr>
      </w:pPr>
      <w:r>
        <w:rPr>
          <w:position w:val="-14"/>
        </w:rPr>
        <w:object>
          <v:shape id="_x0000_i1046" o:spt="75" type="#_x0000_t75" style="height:20.45pt;width:177.2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8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40" w:firstLineChars="200"/>
        <w:rPr>
          <w:szCs w:val="21"/>
        </w:rPr>
      </w:pPr>
      <w:r>
        <w:rPr>
          <w:position w:val="-14"/>
          <w:sz w:val="22"/>
        </w:rPr>
        <w:object>
          <v:shape id="_x0000_i1047" o:spt="75" type="#_x0000_t75" style="height:18.9pt;width:24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50">
            <o:LockedField>false</o:LockedField>
          </o:OLEObject>
        </w:object>
      </w:r>
      <w:r>
        <w:rPr>
          <w:position w:val="-14"/>
          <w:sz w:val="22"/>
        </w:rPr>
        <w:tab/>
      </w:r>
      <w:r>
        <w:rPr>
          <w:rFonts w:hint="eastAsia"/>
          <w:szCs w:val="21"/>
        </w:rPr>
        <w:t>从t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到t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时段的远期利率</w:t>
      </w:r>
    </w:p>
    <w:p>
      <w:pPr>
        <w:ind w:firstLine="440" w:firstLineChars="200"/>
        <w:rPr>
          <w:szCs w:val="21"/>
        </w:rPr>
      </w:pPr>
      <w:r>
        <w:rPr>
          <w:position w:val="-14"/>
          <w:sz w:val="22"/>
        </w:rPr>
        <w:object>
          <v:shape id="_x0000_i1048" o:spt="75" type="#_x0000_t75" style="height:21.95pt;width:24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1">
            <o:LockedField>false</o:LockedField>
          </o:OLEObject>
        </w:object>
      </w:r>
      <w:r>
        <w:rPr>
          <w:position w:val="-14"/>
          <w:sz w:val="22"/>
        </w:rPr>
        <w:tab/>
      </w:r>
      <w:r>
        <w:rPr>
          <w:rFonts w:hint="eastAsia"/>
          <w:szCs w:val="21"/>
        </w:rPr>
        <w:t>从t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到t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时段的随机即期利率</w:t>
      </w:r>
    </w:p>
    <w:p>
      <w:pPr>
        <w:ind w:firstLine="440" w:firstLineChars="200"/>
        <w:rPr>
          <w:szCs w:val="21"/>
        </w:rPr>
      </w:pPr>
      <w:r>
        <w:rPr>
          <w:position w:val="-14"/>
          <w:sz w:val="22"/>
        </w:rPr>
        <w:object>
          <v:shape id="_x0000_i1049" o:spt="75" type="#_x0000_t75" style="height:18.9pt;width:2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2">
            <o:LockedField>false</o:LockedField>
          </o:OLEObject>
        </w:object>
      </w:r>
      <w:r>
        <w:rPr>
          <w:position w:val="-14"/>
          <w:sz w:val="22"/>
        </w:rPr>
        <w:tab/>
      </w:r>
      <w:r>
        <w:rPr>
          <w:rFonts w:hint="eastAsia"/>
          <w:szCs w:val="21"/>
        </w:rPr>
        <w:t>从t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到t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时段的流动性溢价</w:t>
      </w:r>
    </w:p>
    <w:p>
      <w:pPr>
        <w:autoSpaceDE w:val="0"/>
        <w:autoSpaceDN w:val="0"/>
        <w:adjustRightInd w:val="0"/>
        <w:ind w:firstLine="440" w:firstLineChars="200"/>
        <w:jc w:val="left"/>
        <w:rPr>
          <w:iCs/>
          <w:kern w:val="0"/>
          <w:sz w:val="23"/>
          <w:szCs w:val="23"/>
        </w:rPr>
      </w:pPr>
      <w:r>
        <w:rPr>
          <w:i/>
          <w:iCs/>
          <w:sz w:val="22"/>
        </w:rPr>
        <w:t>E(.)</w:t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rFonts w:hint="eastAsia"/>
          <w:iCs/>
          <w:kern w:val="0"/>
          <w:sz w:val="23"/>
          <w:szCs w:val="23"/>
        </w:rPr>
        <w:t>预期函数</w:t>
      </w:r>
    </w:p>
    <w:p>
      <w:pPr>
        <w:rPr>
          <w:iCs/>
          <w:kern w:val="0"/>
          <w:sz w:val="23"/>
          <w:szCs w:val="23"/>
        </w:rPr>
      </w:pPr>
    </w:p>
    <w:p>
      <w:pPr>
        <w:pStyle w:val="6"/>
      </w:pPr>
      <w:r>
        <w:rPr>
          <w:rFonts w:hint="eastAsia"/>
        </w:rPr>
        <w:t>市场分割理论</w:t>
      </w:r>
    </w:p>
    <w:p>
      <w:pPr>
        <w:jc w:val="center"/>
        <w:rPr>
          <w:szCs w:val="21"/>
        </w:rPr>
      </w:pPr>
      <w:r>
        <w:rPr>
          <w:position w:val="-14"/>
        </w:rPr>
        <w:object>
          <v:shape id="_x0000_i1050" o:spt="75" type="#_x0000_t75" style="height:20.45pt;width:201.7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40" w:firstLineChars="200"/>
        <w:rPr>
          <w:szCs w:val="21"/>
        </w:rPr>
      </w:pPr>
      <w:r>
        <w:rPr>
          <w:position w:val="-14"/>
          <w:sz w:val="22"/>
        </w:rPr>
        <w:object>
          <v:shape id="_x0000_i1051" o:spt="75" type="#_x0000_t75" style="height:18.9pt;width:24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56">
            <o:LockedField>false</o:LockedField>
          </o:OLEObject>
        </w:object>
      </w:r>
      <w:r>
        <w:rPr>
          <w:rFonts w:hint="eastAsia"/>
          <w:position w:val="-14"/>
          <w:sz w:val="22"/>
        </w:rPr>
        <w:t xml:space="preserve">  </w:t>
      </w:r>
      <w:r>
        <w:rPr>
          <w:rFonts w:hint="eastAsia"/>
          <w:szCs w:val="21"/>
        </w:rPr>
        <w:t>从t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到t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时段的远期利率</w:t>
      </w:r>
    </w:p>
    <w:p>
      <w:pPr>
        <w:ind w:firstLine="440" w:firstLineChars="200"/>
        <w:rPr>
          <w:szCs w:val="21"/>
        </w:rPr>
      </w:pPr>
      <w:r>
        <w:rPr>
          <w:position w:val="-14"/>
          <w:sz w:val="22"/>
        </w:rPr>
        <w:object>
          <v:shape id="_x0000_i1052" o:spt="75" type="#_x0000_t75" style="height:21.95pt;width:24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57">
            <o:LockedField>false</o:LockedField>
          </o:OLEObject>
        </w:object>
      </w:r>
      <w:r>
        <w:rPr>
          <w:rFonts w:hint="eastAsia"/>
          <w:position w:val="-14"/>
          <w:sz w:val="22"/>
        </w:rPr>
        <w:t xml:space="preserve">  </w:t>
      </w:r>
      <w:r>
        <w:rPr>
          <w:rFonts w:hint="eastAsia"/>
          <w:szCs w:val="21"/>
        </w:rPr>
        <w:t>从t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到t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时段的随机即期利率</w:t>
      </w:r>
    </w:p>
    <w:p>
      <w:pPr>
        <w:autoSpaceDE w:val="0"/>
        <w:autoSpaceDN w:val="0"/>
        <w:adjustRightInd w:val="0"/>
        <w:ind w:firstLine="440" w:firstLineChars="200"/>
        <w:jc w:val="left"/>
        <w:rPr>
          <w:rFonts w:hint="eastAsia" w:ascii="Symbol" w:hAnsi="Symbol" w:cs="Symbol"/>
          <w:kern w:val="0"/>
          <w:sz w:val="20"/>
          <w:szCs w:val="20"/>
        </w:rPr>
      </w:pPr>
      <w:r>
        <w:rPr>
          <w:position w:val="-14"/>
          <w:sz w:val="22"/>
        </w:rPr>
        <w:object>
          <v:shape id="_x0000_i1053" o:spt="75" type="#_x0000_t75" style="height:18.9pt;width:28.6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58">
            <o:LockedField>false</o:LockedField>
          </o:OLEObject>
        </w:object>
      </w:r>
      <w:r>
        <w:rPr>
          <w:rFonts w:ascii="Symbol" w:hAnsi="Symbol" w:cs="Symbol"/>
          <w:kern w:val="0"/>
          <w:sz w:val="20"/>
          <w:szCs w:val="20"/>
        </w:rPr>
        <w:t></w:t>
      </w:r>
      <w:r>
        <w:rPr>
          <w:rFonts w:hint="eastAsia"/>
          <w:szCs w:val="21"/>
        </w:rPr>
        <w:t>从t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到t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时段的风险溢价</w:t>
      </w:r>
    </w:p>
    <w:p>
      <w:pPr>
        <w:autoSpaceDE w:val="0"/>
        <w:autoSpaceDN w:val="0"/>
        <w:adjustRightInd w:val="0"/>
        <w:ind w:firstLine="440" w:firstLineChars="200"/>
        <w:jc w:val="left"/>
        <w:rPr>
          <w:iCs/>
          <w:kern w:val="0"/>
          <w:sz w:val="23"/>
          <w:szCs w:val="23"/>
        </w:rPr>
      </w:pPr>
      <w:r>
        <w:rPr>
          <w:i/>
          <w:iCs/>
          <w:sz w:val="22"/>
        </w:rPr>
        <w:t>E(.)</w:t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rFonts w:hint="eastAsia"/>
          <w:iCs/>
          <w:kern w:val="0"/>
          <w:sz w:val="23"/>
          <w:szCs w:val="23"/>
        </w:rPr>
        <w:t>预期函数</w:t>
      </w:r>
    </w:p>
    <w:p>
      <w:pPr>
        <w:rPr>
          <w:szCs w:val="21"/>
        </w:rPr>
      </w:pPr>
    </w:p>
    <w:p>
      <w:pPr>
        <w:pStyle w:val="4"/>
        <w:rPr>
          <w:lang w:eastAsia="zh-CN"/>
        </w:rPr>
      </w:pPr>
      <w:bookmarkStart w:id="5" w:name="_Toc14827"/>
      <w:r>
        <w:rPr>
          <w:rFonts w:hint="eastAsia"/>
          <w:lang w:eastAsia="zh-CN"/>
        </w:rPr>
        <w:t>1.4债券价格分析</w:t>
      </w:r>
      <w:bookmarkEnd w:id="5"/>
    </w:p>
    <w:p>
      <w:pPr>
        <w:pStyle w:val="5"/>
        <w:rPr>
          <w:lang w:eastAsia="zh-CN"/>
        </w:rPr>
      </w:pPr>
      <w:r>
        <w:rPr>
          <w:rFonts w:hint="eastAsia"/>
          <w:lang w:eastAsia="zh-CN"/>
        </w:rPr>
        <w:t>1.4.1 利差分析</w:t>
      </w:r>
    </w:p>
    <w:p>
      <w:pPr>
        <w:pStyle w:val="6"/>
      </w:pPr>
      <w:r>
        <w:rPr>
          <w:rFonts w:hint="eastAsia"/>
        </w:rPr>
        <w:t>相对利差</w:t>
      </w:r>
    </w:p>
    <w:p>
      <w:pPr>
        <w:jc w:val="center"/>
        <w:rPr>
          <w:szCs w:val="21"/>
        </w:rPr>
      </w:pPr>
      <w:r>
        <w:rPr>
          <w:position w:val="-26"/>
        </w:rPr>
        <w:object>
          <v:shape id="_x0000_i1054" o:spt="75" type="#_x0000_t75" style="height:33.7pt;width:244.6pt;" o:ole="t" filled="t" o:preferrelative="t" stroked="f" coordsize="21600,21600">
            <v:path/>
            <v:fill on="t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0">
            <o:LockedField>false</o:LockedField>
          </o:OLEObject>
        </w:object>
      </w:r>
    </w:p>
    <w:p>
      <w:pPr>
        <w:pStyle w:val="6"/>
      </w:pPr>
      <w:r>
        <w:rPr>
          <w:rFonts w:hint="eastAsia"/>
        </w:rPr>
        <w:t>收益率比</w:t>
      </w:r>
    </w:p>
    <w:p>
      <w:pPr>
        <w:jc w:val="center"/>
        <w:rPr>
          <w:szCs w:val="21"/>
        </w:rPr>
      </w:pPr>
      <w:r>
        <w:rPr>
          <w:position w:val="-26"/>
          <w:szCs w:val="21"/>
        </w:rPr>
        <w:object>
          <v:shape id="_x0000_i1055" o:spt="75" type="#_x0000_t75" style="height:33.7pt;width:145.5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62">
            <o:LockedField>false</o:LockedField>
          </o:OLEObject>
        </w:object>
      </w:r>
    </w:p>
    <w:p>
      <w:pPr>
        <w:rPr>
          <w:b/>
        </w:rPr>
      </w:pPr>
      <w:r>
        <w:rPr>
          <w:rFonts w:hint="eastAsia"/>
          <w:b/>
        </w:rPr>
        <w:t>等价应税收益率</w:t>
      </w:r>
    </w:p>
    <w:p>
      <w:pPr>
        <w:jc w:val="center"/>
        <w:rPr>
          <w:szCs w:val="21"/>
        </w:rPr>
      </w:pPr>
      <w:r>
        <w:rPr>
          <w:position w:val="-26"/>
          <w:szCs w:val="21"/>
        </w:rPr>
        <w:object>
          <v:shape id="_x0000_i1056" o:spt="75" type="#_x0000_t75" style="height:33.7pt;width:162.9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64">
            <o:LockedField>false</o:LockedField>
          </o:OLEObject>
        </w:object>
      </w:r>
    </w:p>
    <w:p>
      <w:pPr>
        <w:pStyle w:val="5"/>
        <w:rPr>
          <w:lang w:eastAsia="zh-CN"/>
        </w:rPr>
      </w:pPr>
      <w:r>
        <w:rPr>
          <w:rFonts w:hint="eastAsia"/>
          <w:lang w:eastAsia="zh-CN"/>
        </w:rPr>
        <w:t>1.4.2用零息票价格来为附息债券估值</w:t>
      </w:r>
    </w:p>
    <w:p>
      <w:pPr>
        <w:pStyle w:val="6"/>
      </w:pPr>
      <w:r>
        <w:rPr>
          <w:rFonts w:hint="eastAsia"/>
        </w:rPr>
        <w:t>零息债券估值</w:t>
      </w:r>
    </w:p>
    <w:p>
      <w:pPr>
        <w:ind w:firstLine="435"/>
        <w:jc w:val="center"/>
        <w:rPr>
          <w:szCs w:val="21"/>
        </w:rPr>
      </w:pPr>
      <w:r>
        <w:rPr>
          <w:position w:val="-32"/>
        </w:rPr>
        <w:object>
          <v:shape id="_x0000_i1057" o:spt="75" type="#_x0000_t75" style="height:33.7pt;width:67.4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3" ShapeID="_x0000_i1057" DrawAspect="Content" ObjectID="_1468075757" r:id="rId66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P</w:t>
      </w:r>
      <w:r>
        <w:rPr>
          <w:rFonts w:hint="eastAsia"/>
          <w:szCs w:val="21"/>
          <w:vertAlign w:val="subscript"/>
        </w:rPr>
        <w:t xml:space="preserve">0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在时刻0时的债券价格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CF</w:t>
      </w:r>
      <w:r>
        <w:rPr>
          <w:rFonts w:hint="eastAsia"/>
          <w:szCs w:val="21"/>
          <w:vertAlign w:val="subscript"/>
        </w:rPr>
        <w:t xml:space="preserve">t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在偿还日t时刻收到的现金（本金）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R</w:t>
      </w:r>
      <w:r>
        <w:rPr>
          <w:rFonts w:hint="eastAsia"/>
          <w:szCs w:val="21"/>
          <w:vertAlign w:val="subscript"/>
        </w:rPr>
        <w:t xml:space="preserve">t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从0到t时段的即期利率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附息债券的估值</w:t>
      </w:r>
    </w:p>
    <w:p>
      <w:pPr>
        <w:ind w:firstLine="435"/>
        <w:jc w:val="center"/>
        <w:rPr>
          <w:szCs w:val="21"/>
        </w:rPr>
      </w:pPr>
      <w:r>
        <w:rPr>
          <w:position w:val="-32"/>
          <w:sz w:val="20"/>
        </w:rPr>
        <w:object>
          <v:shape id="_x0000_i1058" o:spt="75" type="#_x0000_t75" style="height:36.75pt;width:276.25pt;" o:ole="t" filled="t" o:preferrelative="t" stroked="f" coordsize="21600,21600">
            <v:path/>
            <v:fill on="t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8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 xml:space="preserve">0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在时刻0时的债券价格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CF</w:t>
      </w:r>
      <w:r>
        <w:rPr>
          <w:szCs w:val="21"/>
          <w:vertAlign w:val="subscript"/>
        </w:rPr>
        <w:t>t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在t时刻收到的现金（息票利息）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CF</w:t>
      </w:r>
      <w:r>
        <w:rPr>
          <w:szCs w:val="21"/>
          <w:vertAlign w:val="subscript"/>
        </w:rPr>
        <w:t>n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在偿还日</w:t>
      </w:r>
      <w:r>
        <w:rPr>
          <w:szCs w:val="21"/>
        </w:rPr>
        <w:t>n</w:t>
      </w:r>
      <w:r>
        <w:rPr>
          <w:rFonts w:hint="eastAsia"/>
          <w:szCs w:val="21"/>
        </w:rPr>
        <w:t>时刻收到的现金（息票利息和本金）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R</w:t>
      </w:r>
      <w:r>
        <w:rPr>
          <w:szCs w:val="21"/>
          <w:vertAlign w:val="subscript"/>
        </w:rPr>
        <w:t>t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从0到t</w:t>
      </w:r>
      <w:r>
        <w:rPr>
          <w:rFonts w:hint="eastAsia"/>
          <w:szCs w:val="21"/>
          <w:vertAlign w:val="subscript"/>
        </w:rPr>
        <w:t>i</w:t>
      </w:r>
      <w:r>
        <w:rPr>
          <w:rFonts w:hint="eastAsia"/>
          <w:szCs w:val="21"/>
        </w:rPr>
        <w:t>时段的即期利率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N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现金流的次数</w:t>
      </w:r>
    </w:p>
    <w:p>
      <w:pPr>
        <w:rPr>
          <w:szCs w:val="21"/>
        </w:rPr>
      </w:pPr>
    </w:p>
    <w:p>
      <w:pPr>
        <w:pStyle w:val="6"/>
      </w:pPr>
      <w:bookmarkStart w:id="6" w:name="_Toc347901444"/>
      <w:bookmarkStart w:id="7" w:name="_Ref347900115"/>
      <w:bookmarkStart w:id="8" w:name="_Toc347901160"/>
      <w:bookmarkStart w:id="9" w:name="_Toc373727991"/>
      <w:r>
        <w:rPr>
          <w:rFonts w:hint="eastAsia"/>
        </w:rPr>
        <w:t>一年付息一次债券的价格，考虑应计利息</w:t>
      </w:r>
      <w:bookmarkEnd w:id="6"/>
      <w:bookmarkEnd w:id="7"/>
      <w:bookmarkEnd w:id="8"/>
      <w:bookmarkEnd w:id="9"/>
    </w:p>
    <w:p>
      <w:pPr>
        <w:pStyle w:val="60"/>
        <w:tabs>
          <w:tab w:val="clear" w:pos="4536"/>
          <w:tab w:val="clear" w:pos="7938"/>
          <w:tab w:val="clear" w:pos="9072"/>
        </w:tabs>
        <w:jc w:val="center"/>
        <w:rPr>
          <w:position w:val="-36"/>
          <w:lang w:eastAsia="zh-CN"/>
        </w:rPr>
      </w:pPr>
      <w:r>
        <w:rPr>
          <w:rFonts w:hint="eastAsia"/>
          <w:position w:val="-34"/>
          <w:lang w:eastAsia="zh-CN"/>
        </w:rPr>
        <w:object>
          <v:shape id="_x0000_i1059" o:spt="75" type="#_x0000_t75" style="height:36.75pt;width:173.1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0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pStyle w:val="61"/>
        <w:tabs>
          <w:tab w:val="clear" w:pos="2268"/>
        </w:tabs>
        <w:ind w:left="1418" w:hanging="851"/>
        <w:rPr>
          <w:sz w:val="22"/>
          <w:lang w:eastAsia="zh-CN"/>
        </w:rPr>
      </w:pPr>
      <w:r>
        <w:rPr>
          <w:position w:val="-14"/>
          <w:sz w:val="20"/>
        </w:rPr>
        <w:object>
          <v:shape id="_x0000_i1060" o:spt="75" type="#_x0000_t75" style="height:18.9pt;width:31.6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3" ShapeID="_x0000_i1060" DrawAspect="Content" ObjectID="_1468075760" r:id="rId72">
            <o:LockedField>false</o:LockedField>
          </o:OLEObject>
        </w:object>
      </w:r>
      <w:r>
        <w:rPr>
          <w:sz w:val="22"/>
          <w:lang w:eastAsia="zh-CN"/>
        </w:rPr>
        <w:tab/>
      </w:r>
      <w:r>
        <w:rPr>
          <w:sz w:val="22"/>
          <w:lang w:eastAsia="zh-CN"/>
        </w:rPr>
        <w:tab/>
      </w:r>
      <w:r>
        <w:rPr>
          <w:rFonts w:hint="eastAsia"/>
          <w:sz w:val="21"/>
          <w:lang w:eastAsia="zh-CN"/>
        </w:rPr>
        <w:t>债券价格，包括应计利息</w:t>
      </w:r>
    </w:p>
    <w:p>
      <w:pPr>
        <w:pStyle w:val="61"/>
        <w:tabs>
          <w:tab w:val="clear" w:pos="2268"/>
        </w:tabs>
        <w:ind w:left="1418" w:hanging="851"/>
        <w:rPr>
          <w:rFonts w:ascii="宋体" w:hAnsi="宋体"/>
          <w:sz w:val="21"/>
          <w:lang w:eastAsia="zh-CN"/>
        </w:rPr>
      </w:pPr>
      <w:r>
        <w:rPr>
          <w:rFonts w:ascii="宋体" w:hAnsi="宋体"/>
          <w:position w:val="-14"/>
          <w:sz w:val="21"/>
        </w:rPr>
        <w:object>
          <v:shape id="_x0000_i1061" o:spt="75" type="#_x0000_t75" style="height:18.9pt;width:24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3" ShapeID="_x0000_i1061" DrawAspect="Content" ObjectID="_1468075761" r:id="rId74">
            <o:LockedField>false</o:LockedField>
          </o:OLEObject>
        </w:object>
      </w:r>
      <w:r>
        <w:rPr>
          <w:rFonts w:ascii="宋体" w:hAnsi="宋体"/>
          <w:sz w:val="21"/>
          <w:lang w:eastAsia="zh-CN"/>
        </w:rPr>
        <w:tab/>
      </w:r>
      <w:r>
        <w:rPr>
          <w:rFonts w:ascii="宋体" w:hAnsi="宋体"/>
          <w:sz w:val="21"/>
          <w:lang w:eastAsia="zh-CN"/>
        </w:rPr>
        <w:tab/>
      </w:r>
      <w:r>
        <w:rPr>
          <w:rFonts w:hint="eastAsia" w:ascii="宋体" w:hAnsi="宋体"/>
          <w:sz w:val="21"/>
          <w:lang w:eastAsia="zh-CN"/>
        </w:rPr>
        <w:t>债券的报价</w:t>
      </w:r>
    </w:p>
    <w:p>
      <w:pPr>
        <w:pStyle w:val="61"/>
        <w:tabs>
          <w:tab w:val="clear" w:pos="2268"/>
        </w:tabs>
        <w:ind w:left="1418" w:hanging="851"/>
        <w:rPr>
          <w:rFonts w:ascii="宋体" w:hAnsi="宋体"/>
          <w:sz w:val="21"/>
          <w:lang w:eastAsia="zh-CN"/>
        </w:rPr>
      </w:pPr>
      <w:r>
        <w:rPr>
          <w:rFonts w:ascii="宋体" w:hAnsi="宋体"/>
          <w:position w:val="-10"/>
          <w:sz w:val="21"/>
        </w:rPr>
        <w:object>
          <v:shape id="_x0000_i1062" o:spt="75" type="#_x0000_t75" style="height:14.8pt;width:12.2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3" ShapeID="_x0000_i1062" DrawAspect="Content" ObjectID="_1468075762" r:id="rId76">
            <o:LockedField>false</o:LockedField>
          </o:OLEObject>
        </w:object>
      </w:r>
      <w:r>
        <w:rPr>
          <w:rFonts w:ascii="宋体" w:hAnsi="宋体"/>
          <w:sz w:val="21"/>
          <w:lang w:eastAsia="zh-CN"/>
        </w:rPr>
        <w:tab/>
      </w:r>
      <w:r>
        <w:rPr>
          <w:rFonts w:ascii="宋体" w:hAnsi="宋体"/>
          <w:sz w:val="21"/>
          <w:lang w:eastAsia="zh-CN"/>
        </w:rPr>
        <w:tab/>
      </w:r>
      <w:r>
        <w:rPr>
          <w:rFonts w:hint="eastAsia" w:ascii="宋体" w:hAnsi="宋体"/>
          <w:sz w:val="21"/>
          <w:lang w:eastAsia="zh-CN"/>
        </w:rPr>
        <w:t>自上一次付息日的时间，以年的分数形式计</w:t>
      </w:r>
    </w:p>
    <w:p>
      <w:pPr>
        <w:pStyle w:val="61"/>
        <w:tabs>
          <w:tab w:val="clear" w:pos="2268"/>
        </w:tabs>
        <w:ind w:left="1418" w:hanging="851"/>
        <w:rPr>
          <w:rFonts w:ascii="宋体" w:hAnsi="宋体"/>
          <w:sz w:val="21"/>
          <w:lang w:eastAsia="zh-CN"/>
        </w:rPr>
      </w:pPr>
      <w:r>
        <w:rPr>
          <w:rFonts w:ascii="宋体" w:hAnsi="宋体"/>
          <w:position w:val="-6"/>
          <w:sz w:val="21"/>
        </w:rPr>
        <w:object>
          <v:shape id="_x0000_i1063" o:spt="75" type="#_x0000_t75" style="height:12.75pt;width:12.2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3" ShapeID="_x0000_i1063" DrawAspect="Content" ObjectID="_1468075763" r:id="rId78">
            <o:LockedField>false</o:LockedField>
          </o:OLEObject>
        </w:object>
      </w:r>
      <w:r>
        <w:rPr>
          <w:rFonts w:ascii="宋体" w:hAnsi="宋体"/>
          <w:position w:val="-6"/>
          <w:sz w:val="21"/>
          <w:lang w:eastAsia="zh-CN"/>
        </w:rPr>
        <w:t xml:space="preserve">         </w:t>
      </w:r>
      <w:r>
        <w:rPr>
          <w:rFonts w:hint="eastAsia" w:ascii="宋体" w:hAnsi="宋体"/>
          <w:sz w:val="21"/>
          <w:lang w:eastAsia="zh-CN"/>
        </w:rPr>
        <w:t>票息</w:t>
      </w:r>
    </w:p>
    <w:p>
      <w:pPr>
        <w:pStyle w:val="61"/>
        <w:tabs>
          <w:tab w:val="clear" w:pos="2268"/>
        </w:tabs>
        <w:ind w:left="1418" w:hanging="851"/>
        <w:rPr>
          <w:rFonts w:ascii="宋体" w:hAnsi="宋体"/>
          <w:sz w:val="21"/>
          <w:lang w:eastAsia="zh-CN"/>
        </w:rPr>
      </w:pPr>
      <w:r>
        <w:rPr>
          <w:rFonts w:ascii="宋体" w:hAnsi="宋体"/>
          <w:position w:val="-12"/>
          <w:sz w:val="21"/>
        </w:rPr>
        <w:object>
          <v:shape id="_x0000_i1064" o:spt="75" type="#_x0000_t75" style="height:18.9pt;width:20.4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0">
            <o:LockedField>false</o:LockedField>
          </o:OLEObject>
        </w:object>
      </w:r>
      <w:r>
        <w:rPr>
          <w:rFonts w:ascii="宋体" w:hAnsi="宋体"/>
          <w:sz w:val="21"/>
          <w:lang w:eastAsia="zh-CN"/>
        </w:rPr>
        <w:tab/>
      </w:r>
      <w:r>
        <w:rPr>
          <w:rFonts w:ascii="宋体" w:hAnsi="宋体"/>
          <w:sz w:val="21"/>
          <w:lang w:eastAsia="zh-CN"/>
        </w:rPr>
        <w:tab/>
      </w:r>
      <w:r>
        <w:rPr>
          <w:rFonts w:hint="eastAsia" w:ascii="宋体" w:hAnsi="宋体"/>
          <w:sz w:val="21"/>
          <w:lang w:eastAsia="zh-CN"/>
        </w:rPr>
        <w:t>在</w:t>
      </w:r>
      <w:r>
        <w:rPr>
          <w:rFonts w:ascii="宋体" w:hAnsi="宋体"/>
          <w:position w:val="-6"/>
          <w:sz w:val="21"/>
        </w:rPr>
        <w:object>
          <v:shape id="_x0000_i1065" o:spt="75" type="#_x0000_t75" style="height:12.75pt;width:7.6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2">
            <o:LockedField>false</o:LockedField>
          </o:OLEObject>
        </w:object>
      </w:r>
      <w:r>
        <w:rPr>
          <w:rFonts w:hint="eastAsia" w:ascii="宋体" w:hAnsi="宋体"/>
          <w:sz w:val="21"/>
          <w:lang w:eastAsia="zh-CN"/>
        </w:rPr>
        <w:t>时刻的现金流</w:t>
      </w:r>
    </w:p>
    <w:p>
      <w:pPr>
        <w:pStyle w:val="61"/>
        <w:tabs>
          <w:tab w:val="clear" w:pos="2268"/>
        </w:tabs>
        <w:ind w:left="1418" w:hanging="851"/>
        <w:rPr>
          <w:rFonts w:ascii="宋体" w:hAnsi="宋体"/>
          <w:sz w:val="21"/>
          <w:lang w:eastAsia="zh-CN"/>
        </w:rPr>
      </w:pPr>
      <w:r>
        <w:rPr>
          <w:rFonts w:ascii="宋体" w:hAnsi="宋体"/>
          <w:position w:val="-12"/>
          <w:sz w:val="21"/>
        </w:rPr>
        <w:object>
          <v:shape id="_x0000_i1066" o:spt="75" type="#_x0000_t75" style="height:18.9pt;width:13.3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4">
            <o:LockedField>false</o:LockedField>
          </o:OLEObject>
        </w:object>
      </w:r>
      <w:r>
        <w:rPr>
          <w:rFonts w:ascii="宋体" w:hAnsi="宋体"/>
          <w:sz w:val="21"/>
          <w:lang w:eastAsia="zh-CN"/>
        </w:rPr>
        <w:tab/>
      </w:r>
      <w:r>
        <w:rPr>
          <w:rFonts w:ascii="宋体" w:hAnsi="宋体"/>
          <w:sz w:val="21"/>
          <w:lang w:eastAsia="zh-CN"/>
        </w:rPr>
        <w:tab/>
      </w:r>
      <w:r>
        <w:rPr>
          <w:rFonts w:hint="eastAsia" w:ascii="宋体" w:hAnsi="宋体"/>
          <w:sz w:val="21"/>
          <w:lang w:eastAsia="zh-CN"/>
        </w:rPr>
        <w:t>从</w:t>
      </w:r>
      <w:r>
        <w:rPr>
          <w:rFonts w:ascii="宋体" w:hAnsi="宋体"/>
          <w:i/>
          <w:iCs/>
          <w:sz w:val="21"/>
          <w:lang w:eastAsia="zh-CN"/>
        </w:rPr>
        <w:t>f</w:t>
      </w:r>
      <w:r>
        <w:rPr>
          <w:rFonts w:hint="eastAsia" w:ascii="宋体" w:hAnsi="宋体"/>
          <w:sz w:val="21"/>
          <w:lang w:eastAsia="zh-CN"/>
        </w:rPr>
        <w:t>时刻到</w:t>
      </w:r>
      <w:r>
        <w:rPr>
          <w:rFonts w:ascii="宋体" w:hAnsi="宋体"/>
          <w:position w:val="-6"/>
          <w:sz w:val="21"/>
        </w:rPr>
        <w:object>
          <v:shape id="_x0000_i1067" o:spt="75" type="#_x0000_t75" style="height:12.75pt;width:7.6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6">
            <o:LockedField>false</o:LockedField>
          </o:OLEObject>
        </w:object>
      </w:r>
      <w:r>
        <w:rPr>
          <w:rFonts w:hint="eastAsia" w:ascii="宋体" w:hAnsi="宋体"/>
          <w:sz w:val="21"/>
          <w:lang w:eastAsia="zh-CN"/>
        </w:rPr>
        <w:t>时段的即期利率</w:t>
      </w:r>
    </w:p>
    <w:p/>
    <w:p>
      <w:pPr>
        <w:pStyle w:val="6"/>
      </w:pPr>
      <w:r>
        <w:rPr>
          <w:rFonts w:hint="eastAsia"/>
        </w:rPr>
        <w:t>永久债券的估值</w:t>
      </w:r>
    </w:p>
    <w:p>
      <w:pPr>
        <w:pStyle w:val="60"/>
        <w:tabs>
          <w:tab w:val="clear" w:pos="4536"/>
          <w:tab w:val="clear" w:pos="7938"/>
          <w:tab w:val="clear" w:pos="9072"/>
        </w:tabs>
        <w:jc w:val="center"/>
      </w:pPr>
      <w:r>
        <w:rPr>
          <w:position w:val="-22"/>
        </w:rPr>
        <w:object>
          <v:shape id="_x0000_i1068" o:spt="75" type="#_x0000_t75" style="height:29.1pt;width:44.4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3" ShapeID="_x0000_i1068" DrawAspect="Content" ObjectID="_1468075768" r:id="rId88">
            <o:LockedField>false</o:LockedField>
          </o:OLEObject>
        </w:object>
      </w:r>
    </w:p>
    <w:p>
      <w:pPr>
        <w:rPr>
          <w:sz w:val="22"/>
        </w:rPr>
      </w:pPr>
      <w:r>
        <w:rPr>
          <w:rFonts w:hint="eastAsia"/>
          <w:sz w:val="22"/>
        </w:rPr>
        <w:t>此处</w:t>
      </w:r>
    </w:p>
    <w:p>
      <w:pPr>
        <w:pStyle w:val="61"/>
        <w:tabs>
          <w:tab w:val="clear" w:pos="2268"/>
        </w:tabs>
        <w:ind w:left="1418" w:hanging="851"/>
        <w:rPr>
          <w:sz w:val="21"/>
          <w:lang w:eastAsia="zh-CN"/>
        </w:rPr>
      </w:pPr>
      <w:r>
        <w:rPr>
          <w:position w:val="-10"/>
          <w:sz w:val="21"/>
        </w:rPr>
        <w:object>
          <v:shape id="_x0000_i1069" o:spt="75" type="#_x0000_t75" style="height:16.35pt;width:14.3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3" ShapeID="_x0000_i1069" DrawAspect="Content" ObjectID="_1468075769" r:id="rId90">
            <o:LockedField>false</o:LockedField>
          </o:OLEObject>
        </w:objec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ab/>
      </w:r>
      <w:r>
        <w:rPr>
          <w:rFonts w:hint="eastAsia"/>
          <w:sz w:val="21"/>
          <w:lang w:eastAsia="zh-CN"/>
        </w:rPr>
        <w:t>永久债券的当前价格</w:t>
      </w:r>
    </w:p>
    <w:p>
      <w:pPr>
        <w:pStyle w:val="61"/>
        <w:tabs>
          <w:tab w:val="clear" w:pos="2268"/>
        </w:tabs>
        <w:ind w:left="1418" w:hanging="851"/>
        <w:rPr>
          <w:sz w:val="21"/>
          <w:lang w:eastAsia="zh-CN"/>
        </w:rPr>
      </w:pPr>
      <w:r>
        <w:rPr>
          <w:position w:val="-6"/>
          <w:sz w:val="21"/>
        </w:rPr>
        <w:object>
          <v:shape id="_x0000_i1070" o:spt="75" type="#_x0000_t75" style="height:12.75pt;width:18.9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3" ShapeID="_x0000_i1070" DrawAspect="Content" ObjectID="_1468075770" r:id="rId92">
            <o:LockedField>false</o:LockedField>
          </o:OLEObject>
        </w:objec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ab/>
      </w:r>
      <w:r>
        <w:rPr>
          <w:rFonts w:hint="eastAsia"/>
          <w:sz w:val="21"/>
          <w:lang w:eastAsia="zh-CN"/>
        </w:rPr>
        <w:t>永久的现金流（息票）</w:t>
      </w:r>
    </w:p>
    <w:p>
      <w:pPr>
        <w:tabs>
          <w:tab w:val="left" w:pos="720"/>
        </w:tabs>
        <w:ind w:left="359" w:leftChars="171" w:firstLine="210" w:firstLineChars="100"/>
      </w:pPr>
      <w:r>
        <w:rPr>
          <w:position w:val="-4"/>
        </w:rPr>
        <w:object>
          <v:shape id="_x0000_i1071" o:spt="75" type="#_x0000_t75" style="height:12.25pt;width:11.2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3" ShapeID="_x0000_i1071" DrawAspect="Content" ObjectID="_1468075771" r:id="rId94">
            <o:LockedField>false</o:LockedField>
          </o:OLEObject>
        </w:object>
      </w:r>
      <w:r>
        <w:tab/>
      </w:r>
      <w:r>
        <w:rPr>
          <w:rFonts w:hint="eastAsia"/>
        </w:rPr>
        <w:t xml:space="preserve">     </w:t>
      </w:r>
      <w:r>
        <w:tab/>
      </w:r>
      <w:r>
        <w:rPr>
          <w:rFonts w:hint="eastAsia"/>
        </w:rPr>
        <w:t>折现率，假定永久恒定</w:t>
      </w:r>
    </w:p>
    <w:p>
      <w:pPr>
        <w:tabs>
          <w:tab w:val="left" w:pos="720"/>
        </w:tabs>
        <w:ind w:left="360"/>
        <w:rPr>
          <w:szCs w:val="21"/>
        </w:rPr>
      </w:pPr>
    </w:p>
    <w:p>
      <w:pPr>
        <w:pStyle w:val="4"/>
        <w:rPr>
          <w:lang w:eastAsia="zh-CN"/>
        </w:rPr>
      </w:pPr>
      <w:bookmarkStart w:id="10" w:name="_Toc6791"/>
      <w:r>
        <w:rPr>
          <w:rFonts w:hint="eastAsia"/>
          <w:lang w:eastAsia="zh-CN"/>
        </w:rPr>
        <w:t>1.5风险度量</w:t>
      </w:r>
      <w:bookmarkEnd w:id="10"/>
    </w:p>
    <w:p>
      <w:pPr>
        <w:pStyle w:val="5"/>
        <w:rPr>
          <w:lang w:eastAsia="zh-CN"/>
        </w:rPr>
      </w:pPr>
      <w:r>
        <w:rPr>
          <w:rFonts w:hint="eastAsia"/>
          <w:lang w:eastAsia="zh-CN"/>
        </w:rPr>
        <w:t>1.5.1久期和修正久期</w:t>
      </w:r>
    </w:p>
    <w:p>
      <w:pPr>
        <w:pStyle w:val="6"/>
      </w:pPr>
      <w:r>
        <w:rPr>
          <w:rFonts w:hint="eastAsia"/>
        </w:rPr>
        <w:t>麦考利久期（D）</w:t>
      </w:r>
    </w:p>
    <w:p>
      <w:pPr>
        <w:jc w:val="center"/>
        <w:rPr>
          <w:szCs w:val="21"/>
        </w:rPr>
      </w:pPr>
      <w:r>
        <w:rPr>
          <w:position w:val="-66"/>
        </w:rPr>
        <w:object>
          <v:shape id="_x0000_i1072" o:spt="75" type="#_x0000_t75" style="height:72pt;width:364.6pt;" o:ole="t" filled="t" o:preferrelative="t" stroked="f" coordsize="21600,21600">
            <v:path/>
            <v:fill on="t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6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PV（</w:t>
      </w:r>
      <w:r>
        <w:rPr>
          <w:rFonts w:hint="eastAsia"/>
        </w:rPr>
        <w:t>CF</w:t>
      </w:r>
      <w:r>
        <w:rPr>
          <w:szCs w:val="21"/>
          <w:vertAlign w:val="subscript"/>
        </w:rPr>
        <w:t>t</w:t>
      </w:r>
      <w:r>
        <w:rPr>
          <w:rFonts w:hint="eastAsia"/>
          <w:szCs w:val="21"/>
        </w:rPr>
        <w:t xml:space="preserve">）  </w:t>
      </w:r>
      <w:r>
        <w:rPr>
          <w:szCs w:val="21"/>
        </w:rPr>
        <w:tab/>
      </w:r>
      <w:r>
        <w:rPr>
          <w:rFonts w:hint="eastAsia"/>
          <w:szCs w:val="21"/>
        </w:rPr>
        <w:t>现金流</w:t>
      </w:r>
      <w:r>
        <w:rPr>
          <w:rFonts w:hint="eastAsia"/>
        </w:rPr>
        <w:t>CF</w:t>
      </w:r>
      <w:r>
        <w:rPr>
          <w:szCs w:val="21"/>
          <w:vertAlign w:val="subscript"/>
        </w:rPr>
        <w:t>t</w:t>
      </w:r>
      <w:r>
        <w:rPr>
          <w:rFonts w:hint="eastAsia"/>
          <w:szCs w:val="21"/>
        </w:rPr>
        <w:t>的现值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P         </w:t>
      </w:r>
      <w:r>
        <w:rPr>
          <w:szCs w:val="21"/>
        </w:rPr>
        <w:tab/>
      </w:r>
      <w:r>
        <w:rPr>
          <w:rFonts w:hint="eastAsia"/>
          <w:szCs w:val="21"/>
        </w:rPr>
        <w:t>当前支付的债券价格（包括应付利息）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Y        </w:t>
      </w:r>
      <w:r>
        <w:rPr>
          <w:szCs w:val="21"/>
        </w:rPr>
        <w:tab/>
      </w:r>
      <w:r>
        <w:rPr>
          <w:rFonts w:hint="eastAsia"/>
          <w:szCs w:val="21"/>
        </w:rPr>
        <w:t>债券的到期收益率</w:t>
      </w:r>
    </w:p>
    <w:p>
      <w:pPr>
        <w:ind w:firstLine="420"/>
        <w:rPr>
          <w:szCs w:val="21"/>
        </w:rPr>
      </w:pPr>
      <w:r>
        <w:rPr>
          <w:rFonts w:hint="eastAsia"/>
        </w:rPr>
        <w:t>CF</w:t>
      </w:r>
      <w:r>
        <w:rPr>
          <w:szCs w:val="21"/>
          <w:vertAlign w:val="subscript"/>
        </w:rPr>
        <w:t>t</w:t>
      </w:r>
      <w:r>
        <w:rPr>
          <w:rFonts w:hint="eastAsia"/>
          <w:szCs w:val="21"/>
          <w:vertAlign w:val="subscript"/>
        </w:rPr>
        <w:t xml:space="preserve">      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在t时刻收到的现金（息票利息）</w:t>
      </w:r>
    </w:p>
    <w:p>
      <w:pPr>
        <w:ind w:firstLine="420"/>
        <w:rPr>
          <w:szCs w:val="21"/>
        </w:rPr>
      </w:pPr>
      <w:r>
        <w:rPr>
          <w:rFonts w:hint="eastAsia"/>
        </w:rPr>
        <w:t>CF</w:t>
      </w:r>
      <w:r>
        <w:rPr>
          <w:szCs w:val="21"/>
          <w:vertAlign w:val="subscript"/>
        </w:rPr>
        <w:t>n</w:t>
      </w:r>
      <w:r>
        <w:rPr>
          <w:rFonts w:hint="eastAsia"/>
          <w:szCs w:val="21"/>
          <w:vertAlign w:val="subscript"/>
        </w:rPr>
        <w:t xml:space="preserve">     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在偿还日</w:t>
      </w:r>
      <w:r>
        <w:rPr>
          <w:szCs w:val="21"/>
        </w:rPr>
        <w:t>n</w:t>
      </w:r>
      <w:r>
        <w:rPr>
          <w:rFonts w:hint="eastAsia"/>
          <w:szCs w:val="21"/>
        </w:rPr>
        <w:t>时刻收到的现金（息票利息和本金）</w:t>
      </w:r>
    </w:p>
    <w:p>
      <w:pPr>
        <w:ind w:firstLine="420"/>
        <w:rPr>
          <w:szCs w:val="21"/>
        </w:rPr>
      </w:pPr>
      <w:r>
        <w:rPr>
          <w:szCs w:val="21"/>
        </w:rPr>
        <w:t>n</w:t>
      </w:r>
      <w:r>
        <w:rPr>
          <w:rFonts w:hint="eastAsia"/>
          <w:szCs w:val="21"/>
        </w:rPr>
        <w:t xml:space="preserve">         </w:t>
      </w:r>
      <w:r>
        <w:rPr>
          <w:szCs w:val="21"/>
        </w:rPr>
        <w:tab/>
      </w:r>
      <w:r>
        <w:rPr>
          <w:rFonts w:hint="eastAsia"/>
          <w:szCs w:val="21"/>
        </w:rPr>
        <w:t>现金流的次数</w:t>
      </w:r>
    </w:p>
    <w:p>
      <w:pPr>
        <w:rPr>
          <w:szCs w:val="21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永久债券的麦考利久期</w:t>
      </w:r>
    </w:p>
    <w:p>
      <w:pPr>
        <w:jc w:val="center"/>
        <w:rPr>
          <w:i/>
          <w:szCs w:val="21"/>
        </w:rPr>
      </w:pPr>
      <w:r>
        <w:rPr>
          <w:position w:val="-26"/>
        </w:rPr>
        <w:object>
          <v:shape id="_x0000_i1073" o:spt="75" type="#_x0000_t75" style="height:31.65pt;width:225.7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3" ShapeID="_x0000_i1073" DrawAspect="Content" ObjectID="_1468075773" r:id="rId98">
            <o:LockedField>false</o:LockedField>
          </o:OLEObject>
        </w:objec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修正久期和价格久期</w:t>
      </w:r>
    </w:p>
    <w:p>
      <w:pPr>
        <w:jc w:val="center"/>
        <w:rPr>
          <w:szCs w:val="21"/>
        </w:rPr>
      </w:pPr>
      <w:r>
        <w:rPr>
          <w:position w:val="-54"/>
        </w:rPr>
        <w:object>
          <v:shape id="_x0000_i1074" o:spt="75" type="#_x0000_t75" style="height:59.25pt;width:147.05pt;" o:ole="t" filled="t" o:preferrelative="t" stroked="f" coordsize="21600,21600">
            <v:path/>
            <v:fill on="t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3" ShapeID="_x0000_i1074" DrawAspect="Content" ObjectID="_1468075774" r:id="rId100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D</w:t>
      </w:r>
      <w:r>
        <w:rPr>
          <w:rFonts w:hint="eastAsia"/>
          <w:szCs w:val="21"/>
          <w:vertAlign w:val="superscript"/>
        </w:rPr>
        <w:t xml:space="preserve">mod         </w:t>
      </w:r>
      <w:r>
        <w:rPr>
          <w:szCs w:val="21"/>
          <w:vertAlign w:val="superscript"/>
        </w:rPr>
        <w:tab/>
      </w:r>
      <w:r>
        <w:rPr>
          <w:rFonts w:hint="eastAsia"/>
          <w:szCs w:val="21"/>
        </w:rPr>
        <w:t>修正久期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D</w:t>
      </w:r>
      <w:r>
        <w:rPr>
          <w:rFonts w:hint="eastAsia"/>
          <w:szCs w:val="21"/>
          <w:vertAlign w:val="superscript"/>
        </w:rPr>
        <w:t xml:space="preserve">P          </w:t>
      </w:r>
      <w:r>
        <w:rPr>
          <w:szCs w:val="21"/>
          <w:vertAlign w:val="superscript"/>
        </w:rPr>
        <w:tab/>
      </w:r>
      <w:r>
        <w:rPr>
          <w:rFonts w:hint="eastAsia"/>
          <w:szCs w:val="21"/>
        </w:rPr>
        <w:t>价格久期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 xml:space="preserve">P         </w:t>
      </w:r>
      <w:r>
        <w:rPr>
          <w:szCs w:val="21"/>
        </w:rPr>
        <w:tab/>
      </w:r>
      <w:r>
        <w:rPr>
          <w:rFonts w:hint="eastAsia"/>
          <w:szCs w:val="21"/>
        </w:rPr>
        <w:t>当前支付的债券价格（包括应付利息）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 xml:space="preserve">D        </w:t>
      </w:r>
      <w:r>
        <w:rPr>
          <w:szCs w:val="21"/>
        </w:rPr>
        <w:tab/>
      </w:r>
      <w:r>
        <w:rPr>
          <w:rFonts w:hint="eastAsia"/>
          <w:szCs w:val="21"/>
        </w:rPr>
        <w:t>麦考利久期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Y        </w:t>
      </w:r>
      <w:r>
        <w:rPr>
          <w:szCs w:val="21"/>
        </w:rPr>
        <w:tab/>
      </w:r>
      <w:r>
        <w:rPr>
          <w:rFonts w:hint="eastAsia"/>
          <w:szCs w:val="21"/>
        </w:rPr>
        <w:t>债券的到期收益率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用久期估算价格变化</w:t>
      </w:r>
    </w:p>
    <w:p>
      <w:pPr>
        <w:jc w:val="center"/>
        <w:rPr>
          <w:szCs w:val="21"/>
        </w:rPr>
      </w:pPr>
      <w:r>
        <w:rPr>
          <w:position w:val="-64"/>
          <w:sz w:val="20"/>
        </w:rPr>
        <w:object>
          <v:shape id="_x0000_i1075" o:spt="75" type="#_x0000_t75" style="height:71.5pt;width:234.9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3" ShapeID="_x0000_i1075" DrawAspect="Content" ObjectID="_1468075775" r:id="rId102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autoSpaceDE w:val="0"/>
        <w:autoSpaceDN w:val="0"/>
        <w:adjustRightInd w:val="0"/>
        <w:ind w:firstLine="420"/>
        <w:jc w:val="left"/>
        <w:rPr>
          <w:iCs/>
          <w:kern w:val="0"/>
          <w:szCs w:val="21"/>
        </w:rPr>
      </w:pPr>
      <w:r>
        <w:rPr>
          <w:rFonts w:ascii="Symbol" w:hAnsi="Symbol" w:cs="Symbol"/>
          <w:kern w:val="0"/>
          <w:szCs w:val="21"/>
        </w:rPr>
        <w:t></w:t>
      </w:r>
      <w:r>
        <w:rPr>
          <w:iCs/>
          <w:kern w:val="0"/>
          <w:szCs w:val="21"/>
        </w:rPr>
        <w:t xml:space="preserve"> P </w:t>
      </w:r>
      <w:r>
        <w:rPr>
          <w:rFonts w:hint="eastAsia"/>
          <w:iCs/>
          <w:kern w:val="0"/>
          <w:szCs w:val="21"/>
        </w:rPr>
        <w:t xml:space="preserve">     </w:t>
      </w:r>
      <w:r>
        <w:rPr>
          <w:iCs/>
          <w:kern w:val="0"/>
          <w:szCs w:val="21"/>
        </w:rPr>
        <w:tab/>
      </w:r>
      <w:r>
        <w:rPr>
          <w:rFonts w:hint="eastAsia"/>
          <w:iCs/>
          <w:kern w:val="0"/>
          <w:szCs w:val="21"/>
        </w:rPr>
        <w:t>债券的价格变化</w:t>
      </w:r>
    </w:p>
    <w:p>
      <w:pPr>
        <w:autoSpaceDE w:val="0"/>
        <w:autoSpaceDN w:val="0"/>
        <w:adjustRightInd w:val="0"/>
        <w:ind w:firstLine="420"/>
        <w:jc w:val="left"/>
        <w:rPr>
          <w:szCs w:val="21"/>
        </w:rPr>
      </w:pPr>
      <w:r>
        <w:rPr>
          <w:rFonts w:hint="eastAsia"/>
          <w:szCs w:val="21"/>
        </w:rPr>
        <w:t xml:space="preserve">D        </w:t>
      </w:r>
      <w:r>
        <w:rPr>
          <w:szCs w:val="21"/>
        </w:rPr>
        <w:tab/>
      </w:r>
      <w:r>
        <w:rPr>
          <w:rFonts w:hint="eastAsia"/>
          <w:szCs w:val="21"/>
        </w:rPr>
        <w:t>麦考利久期</w:t>
      </w:r>
    </w:p>
    <w:p>
      <w:pPr>
        <w:autoSpaceDE w:val="0"/>
        <w:autoSpaceDN w:val="0"/>
        <w:adjustRightInd w:val="0"/>
        <w:ind w:firstLine="420"/>
        <w:jc w:val="left"/>
        <w:rPr>
          <w:szCs w:val="21"/>
        </w:rPr>
      </w:pPr>
      <w:r>
        <w:rPr>
          <w:rFonts w:hint="eastAsia"/>
          <w:szCs w:val="21"/>
        </w:rPr>
        <w:t xml:space="preserve">Y        </w:t>
      </w:r>
      <w:r>
        <w:rPr>
          <w:szCs w:val="21"/>
        </w:rPr>
        <w:tab/>
      </w:r>
      <w:r>
        <w:rPr>
          <w:rFonts w:hint="eastAsia"/>
          <w:szCs w:val="21"/>
        </w:rPr>
        <w:t>债券的到期收益率</w:t>
      </w:r>
    </w:p>
    <w:p>
      <w:pPr>
        <w:autoSpaceDE w:val="0"/>
        <w:autoSpaceDN w:val="0"/>
        <w:adjustRightInd w:val="0"/>
        <w:ind w:firstLine="420"/>
        <w:jc w:val="left"/>
        <w:rPr>
          <w:szCs w:val="21"/>
        </w:rPr>
      </w:pPr>
      <w:r>
        <w:rPr>
          <w:rFonts w:hint="eastAsia"/>
          <w:szCs w:val="21"/>
        </w:rPr>
        <w:t xml:space="preserve">P        </w:t>
      </w:r>
      <w:r>
        <w:rPr>
          <w:szCs w:val="21"/>
        </w:rPr>
        <w:tab/>
      </w:r>
      <w:r>
        <w:rPr>
          <w:rFonts w:hint="eastAsia"/>
          <w:szCs w:val="21"/>
        </w:rPr>
        <w:t>当前支付的债券价格（包括应付利息）</w:t>
      </w:r>
    </w:p>
    <w:p>
      <w:pPr>
        <w:autoSpaceDE w:val="0"/>
        <w:autoSpaceDN w:val="0"/>
        <w:adjustRightInd w:val="0"/>
        <w:ind w:firstLine="420"/>
        <w:jc w:val="left"/>
        <w:rPr>
          <w:kern w:val="0"/>
          <w:sz w:val="20"/>
          <w:szCs w:val="20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  <w:vertAlign w:val="superscript"/>
        </w:rPr>
        <w:t xml:space="preserve">mod        </w:t>
      </w:r>
      <w:r>
        <w:rPr>
          <w:szCs w:val="21"/>
          <w:vertAlign w:val="superscript"/>
        </w:rPr>
        <w:tab/>
      </w:r>
      <w:r>
        <w:rPr>
          <w:rFonts w:hint="eastAsia"/>
          <w:szCs w:val="21"/>
        </w:rPr>
        <w:t>修正久期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D</w:t>
      </w:r>
      <w:r>
        <w:rPr>
          <w:rFonts w:hint="eastAsia"/>
          <w:szCs w:val="21"/>
          <w:vertAlign w:val="superscript"/>
        </w:rPr>
        <w:t xml:space="preserve">P          </w:t>
      </w:r>
      <w:r>
        <w:rPr>
          <w:szCs w:val="21"/>
          <w:vertAlign w:val="superscript"/>
        </w:rPr>
        <w:tab/>
      </w:r>
      <w:r>
        <w:rPr>
          <w:rFonts w:hint="eastAsia"/>
          <w:szCs w:val="21"/>
        </w:rPr>
        <w:t>价格久期</w:t>
      </w:r>
    </w:p>
    <w:p>
      <w:pPr>
        <w:ind w:firstLine="420"/>
        <w:rPr>
          <w:szCs w:val="21"/>
        </w:rPr>
      </w:pPr>
      <w:r>
        <w:rPr>
          <w:rFonts w:ascii="Symbol" w:hAnsi="Symbol" w:cs="Symbol"/>
          <w:kern w:val="0"/>
          <w:szCs w:val="21"/>
        </w:rPr>
        <w:t></w:t>
      </w:r>
      <w:r>
        <w:rPr>
          <w:rFonts w:hint="eastAsia"/>
          <w:szCs w:val="21"/>
        </w:rPr>
        <w:t xml:space="preserve"> Y      </w:t>
      </w:r>
      <w:r>
        <w:rPr>
          <w:szCs w:val="21"/>
        </w:rPr>
        <w:tab/>
      </w:r>
      <w:r>
        <w:rPr>
          <w:rFonts w:hint="eastAsia"/>
          <w:szCs w:val="21"/>
        </w:rPr>
        <w:t>债券收益率的微小变化</w:t>
      </w:r>
    </w:p>
    <w:p>
      <w:pPr>
        <w:jc w:val="center"/>
        <w:rPr>
          <w:b/>
          <w:color w:val="FF0000"/>
        </w:rPr>
      </w:pPr>
    </w:p>
    <w:p>
      <w:pPr>
        <w:rPr>
          <w:b/>
        </w:rPr>
      </w:pPr>
      <w:r>
        <w:rPr>
          <w:rFonts w:hint="eastAsia"/>
          <w:b/>
        </w:rPr>
        <w:t>在两个付息日之间的久期</w:t>
      </w:r>
    </w:p>
    <w:p>
      <w:pPr>
        <w:jc w:val="center"/>
        <w:rPr>
          <w:b/>
        </w:rPr>
      </w:pPr>
      <w:r>
        <w:rPr>
          <w:b/>
          <w:position w:val="-30"/>
        </w:rPr>
        <w:object>
          <v:shape id="_x0000_i1076" o:spt="75" type="#_x0000_t75" style="height:36.75pt;width:152.1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4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  <w:vertAlign w:val="subscript"/>
        </w:rPr>
        <w:t xml:space="preserve">cum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两个付息日之间的久期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Y    </w:t>
      </w:r>
      <w:r>
        <w:rPr>
          <w:szCs w:val="21"/>
        </w:rPr>
        <w:tab/>
      </w:r>
      <w:r>
        <w:rPr>
          <w:rFonts w:hint="eastAsia"/>
          <w:szCs w:val="21"/>
        </w:rPr>
        <w:t>债券到期收益率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f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ab/>
      </w:r>
      <w:r>
        <w:rPr>
          <w:rFonts w:hint="eastAsia" w:ascii="宋体" w:hAnsi="宋体"/>
        </w:rPr>
        <w:t>自上一次付息日的时间，以年的分数形式计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 xml:space="preserve">cum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债券的当前价格（包括应计利息）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CF</w:t>
      </w:r>
      <w:r>
        <w:rPr>
          <w:rFonts w:hint="eastAsia"/>
          <w:szCs w:val="21"/>
          <w:vertAlign w:val="subscript"/>
        </w:rPr>
        <w:t xml:space="preserve">t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在时刻t收到的现金流（票息）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n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rFonts w:hint="eastAsia"/>
          <w:szCs w:val="21"/>
        </w:rPr>
        <w:t>现金流的次数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关键利率久期（KRD）</w:t>
      </w:r>
    </w:p>
    <w:p>
      <w:pPr>
        <w:jc w:val="center"/>
        <w:rPr>
          <w:b/>
        </w:rPr>
      </w:pPr>
      <w:r>
        <w:rPr>
          <w:b/>
          <w:position w:val="-28"/>
        </w:rPr>
        <w:object>
          <v:shape id="_x0000_i1077" o:spt="75" type="#_x0000_t75" style="height:33.7pt;width:105.7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3" ShapeID="_x0000_i1077" DrawAspect="Content" ObjectID="_1468075777" r:id="rId106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  <w:rPr>
          <w:szCs w:val="21"/>
        </w:rPr>
      </w:pPr>
      <w:r>
        <w:rPr>
          <w:rFonts w:hint="eastAsia" w:ascii="宋体" w:hAnsi="宋体"/>
          <w:szCs w:val="21"/>
        </w:rPr>
        <w:t>Δ</w:t>
      </w:r>
      <w:r>
        <w:rPr>
          <w:rFonts w:hint="eastAsia"/>
          <w:szCs w:val="21"/>
        </w:rPr>
        <w:t xml:space="preserve">P  </w:t>
      </w:r>
      <w:r>
        <w:rPr>
          <w:szCs w:val="21"/>
        </w:rPr>
        <w:tab/>
      </w:r>
      <w:r>
        <w:rPr>
          <w:rFonts w:hint="eastAsia"/>
          <w:szCs w:val="21"/>
        </w:rPr>
        <w:t>债券的价格变化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P  </w:t>
      </w:r>
      <w:r>
        <w:rPr>
          <w:szCs w:val="21"/>
        </w:rPr>
        <w:tab/>
      </w:r>
      <w:r>
        <w:rPr>
          <w:rFonts w:hint="eastAsia"/>
          <w:szCs w:val="21"/>
        </w:rPr>
        <w:t>债券的当前价格（包括应计利息）</w:t>
      </w:r>
    </w:p>
    <w:p>
      <w:pPr>
        <w:ind w:firstLine="420"/>
        <w:rPr>
          <w:szCs w:val="21"/>
        </w:rPr>
      </w:pPr>
      <w:r>
        <w:rPr>
          <w:rFonts w:hint="eastAsia" w:ascii="宋体" w:hAnsi="宋体"/>
          <w:szCs w:val="21"/>
        </w:rPr>
        <w:t>Δ</w:t>
      </w:r>
      <w:r>
        <w:rPr>
          <w:rFonts w:hint="eastAsia"/>
          <w:szCs w:val="21"/>
        </w:rPr>
        <w:t xml:space="preserve">Y(i)  </w:t>
      </w:r>
      <w:r>
        <w:rPr>
          <w:szCs w:val="21"/>
        </w:rPr>
        <w:tab/>
      </w:r>
      <w:r>
        <w:rPr>
          <w:rFonts w:hint="eastAsia"/>
          <w:szCs w:val="21"/>
        </w:rPr>
        <w:t>第i个关键利率的小变化</w:t>
      </w:r>
    </w:p>
    <w:p>
      <w:pPr>
        <w:jc w:val="center"/>
        <w:rPr>
          <w:b/>
          <w:color w:val="FF0000"/>
          <w:szCs w:val="21"/>
        </w:rPr>
      </w:pPr>
    </w:p>
    <w:p>
      <w:pPr>
        <w:pStyle w:val="5"/>
        <w:rPr>
          <w:lang w:eastAsia="zh-CN"/>
        </w:rPr>
      </w:pPr>
      <w:r>
        <w:rPr>
          <w:lang w:eastAsia="zh-CN"/>
        </w:rPr>
        <w:t xml:space="preserve">1.5.2 </w:t>
      </w:r>
      <w:r>
        <w:rPr>
          <w:rFonts w:hint="eastAsia"/>
          <w:lang w:eastAsia="zh-CN"/>
        </w:rPr>
        <w:t>凸性(</w:t>
      </w:r>
      <w:r>
        <w:rPr>
          <w:lang w:eastAsia="zh-CN"/>
        </w:rPr>
        <w:t>C)</w:t>
      </w:r>
    </w:p>
    <w:p>
      <w:pPr>
        <w:jc w:val="center"/>
        <w:rPr>
          <w:szCs w:val="21"/>
        </w:rPr>
      </w:pPr>
      <w:r>
        <w:rPr>
          <w:position w:val="-48"/>
        </w:rPr>
        <w:object>
          <v:shape id="_x0000_i1078" o:spt="75" type="#_x0000_t75" style="height:54.65pt;width:167.5pt;" o:ole="t" filled="t" o:preferrelative="t" stroked="f" coordsize="21600,21600">
            <v:path/>
            <v:fill on="t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8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C</w:t>
      </w:r>
      <w:r>
        <w:rPr>
          <w:rFonts w:hint="eastAsia"/>
          <w:szCs w:val="21"/>
          <w:vertAlign w:val="superscript"/>
        </w:rPr>
        <w:t xml:space="preserve">P  </w:t>
      </w:r>
      <w:r>
        <w:rPr>
          <w:szCs w:val="21"/>
          <w:vertAlign w:val="superscript"/>
        </w:rPr>
        <w:tab/>
      </w:r>
      <w:r>
        <w:rPr>
          <w:szCs w:val="21"/>
          <w:vertAlign w:val="superscript"/>
        </w:rPr>
        <w:tab/>
      </w:r>
      <w:r>
        <w:rPr>
          <w:rFonts w:hint="eastAsia"/>
          <w:szCs w:val="21"/>
        </w:rPr>
        <w:t>价格凸性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P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当前支付的债券价格（包括应付利息）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Y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债券的到期收益率</w:t>
      </w:r>
    </w:p>
    <w:p>
      <w:pPr>
        <w:ind w:firstLine="420"/>
        <w:rPr>
          <w:szCs w:val="21"/>
        </w:rPr>
      </w:pPr>
      <w:r>
        <w:rPr>
          <w:rFonts w:hint="eastAsia"/>
        </w:rPr>
        <w:t>CF</w:t>
      </w:r>
      <w:r>
        <w:rPr>
          <w:rFonts w:hint="eastAsia"/>
          <w:szCs w:val="21"/>
          <w:vertAlign w:val="subscript"/>
        </w:rPr>
        <w:t xml:space="preserve">t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在t时刻收到的现金（息票利息）</w:t>
      </w:r>
    </w:p>
    <w:p>
      <w:pPr>
        <w:ind w:firstLine="420"/>
        <w:rPr>
          <w:szCs w:val="21"/>
        </w:rPr>
      </w:pPr>
      <w:r>
        <w:rPr>
          <w:szCs w:val="21"/>
        </w:rPr>
        <w:t>n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rFonts w:hint="eastAsia"/>
          <w:szCs w:val="21"/>
        </w:rPr>
        <w:t>现金流的次数</w:t>
      </w:r>
    </w:p>
    <w:p>
      <w:pPr>
        <w:ind w:firstLine="420"/>
        <w:rPr>
          <w:szCs w:val="21"/>
        </w:rPr>
      </w:pPr>
    </w:p>
    <w:p>
      <w:pPr>
        <w:pStyle w:val="6"/>
      </w:pPr>
      <w:r>
        <w:rPr>
          <w:rFonts w:hint="eastAsia"/>
        </w:rPr>
        <w:t>在两个付息日之间</w:t>
      </w:r>
      <w:r>
        <w:t>的凸性（</w:t>
      </w:r>
      <w:r>
        <w:rPr>
          <w:rFonts w:hint="eastAsia"/>
        </w:rPr>
        <w:t>C</w:t>
      </w:r>
      <w:r>
        <w:t>cum）</w:t>
      </w:r>
    </w:p>
    <w:p>
      <w:pPr>
        <w:pStyle w:val="6"/>
        <w:jc w:val="center"/>
        <w:rPr>
          <w:color w:val="FF0000"/>
          <w:position w:val="-60"/>
        </w:rPr>
      </w:pPr>
      <w:r>
        <w:rPr>
          <w:color w:val="FF0000"/>
          <w:position w:val="-30"/>
        </w:rPr>
        <w:object>
          <v:shape id="_x0000_i1079" o:spt="75" type="#_x0000_t75" style="height:36.75pt;width:225.7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0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20"/>
      </w:pPr>
      <w:r>
        <w:rPr>
          <w:position w:val="-12"/>
        </w:rPr>
        <w:object>
          <v:shape id="_x0000_i1080" o:spt="75" type="#_x0000_t75" style="height:17.85pt;width:24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2">
            <o:LockedField>false</o:LockedField>
          </o:OLEObject>
        </w:object>
      </w:r>
      <w:r>
        <w:tab/>
      </w:r>
      <w:r>
        <w:rPr>
          <w:rFonts w:hint="eastAsia"/>
        </w:rPr>
        <w:t>息票日期之间债券的凸性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Y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债券的到期收益率</w:t>
      </w:r>
    </w:p>
    <w:p>
      <w:pPr>
        <w:ind w:firstLine="420"/>
        <w:rPr>
          <w:szCs w:val="21"/>
        </w:rPr>
      </w:pPr>
      <w:r>
        <w:rPr>
          <w:szCs w:val="21"/>
        </w:rPr>
        <w:t>f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ab/>
      </w:r>
      <w:r>
        <w:rPr>
          <w:rFonts w:hint="eastAsia" w:ascii="宋体" w:hAnsi="宋体"/>
        </w:rPr>
        <w:t>自上一次付息日的时间，以年为单位度量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 xml:space="preserve">cum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债券的当前价格（包括应计利息）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CF</w:t>
      </w:r>
      <w:r>
        <w:rPr>
          <w:rFonts w:hint="eastAsia"/>
          <w:szCs w:val="21"/>
          <w:vertAlign w:val="subscript"/>
        </w:rPr>
        <w:t xml:space="preserve">t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在时刻t收到的现金流（票息）</w:t>
      </w:r>
    </w:p>
    <w:p>
      <w:pPr>
        <w:ind w:firstLine="420"/>
      </w:pPr>
      <w:r>
        <w:rPr>
          <w:szCs w:val="21"/>
        </w:rPr>
        <w:t>n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rFonts w:hint="eastAsia"/>
          <w:szCs w:val="21"/>
        </w:rPr>
        <w:t>现金流的次数</w:t>
      </w:r>
    </w:p>
    <w:p>
      <w:pPr>
        <w:pStyle w:val="6"/>
      </w:pPr>
    </w:p>
    <w:p>
      <w:pPr>
        <w:pStyle w:val="6"/>
      </w:pPr>
      <w:r>
        <w:rPr>
          <w:rFonts w:hint="eastAsia"/>
        </w:rPr>
        <w:t>用久期和凸性来估算价格变化</w:t>
      </w:r>
    </w:p>
    <w:p>
      <w:pPr>
        <w:jc w:val="center"/>
        <w:rPr>
          <w:iCs/>
          <w:kern w:val="0"/>
          <w:szCs w:val="21"/>
        </w:rPr>
      </w:pPr>
      <w:r>
        <w:rPr>
          <w:position w:val="-48"/>
        </w:rPr>
        <w:object>
          <v:shape id="_x0000_i1081" o:spt="75" type="#_x0000_t75" style="height:54.65pt;width:260.4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4">
            <o:LockedField>false</o:LockedField>
          </o:OLEObject>
        </w:object>
      </w:r>
    </w:p>
    <w:p>
      <w:pPr>
        <w:rPr>
          <w:iCs/>
          <w:kern w:val="0"/>
          <w:szCs w:val="21"/>
        </w:rPr>
      </w:pPr>
      <w:r>
        <w:rPr>
          <w:rFonts w:hint="eastAsia"/>
          <w:iCs/>
          <w:kern w:val="0"/>
          <w:szCs w:val="21"/>
        </w:rPr>
        <w:t>此处</w:t>
      </w:r>
    </w:p>
    <w:p>
      <w:pPr>
        <w:autoSpaceDE w:val="0"/>
        <w:autoSpaceDN w:val="0"/>
        <w:adjustRightInd w:val="0"/>
        <w:ind w:firstLine="420"/>
        <w:jc w:val="left"/>
        <w:rPr>
          <w:iCs/>
          <w:kern w:val="0"/>
          <w:szCs w:val="21"/>
        </w:rPr>
      </w:pPr>
      <w:r>
        <w:rPr>
          <w:rFonts w:ascii="Symbol" w:hAnsi="Symbol" w:cs="Symbol"/>
          <w:kern w:val="0"/>
          <w:szCs w:val="21"/>
        </w:rPr>
        <w:t></w:t>
      </w:r>
      <w:r>
        <w:rPr>
          <w:iCs/>
          <w:kern w:val="0"/>
          <w:szCs w:val="21"/>
        </w:rPr>
        <w:t xml:space="preserve"> P</w:t>
      </w:r>
      <w:r>
        <w:rPr>
          <w:rFonts w:hint="eastAsia"/>
          <w:iCs/>
          <w:kern w:val="0"/>
          <w:szCs w:val="21"/>
        </w:rPr>
        <w:t xml:space="preserve">   </w:t>
      </w:r>
      <w:r>
        <w:rPr>
          <w:iCs/>
          <w:kern w:val="0"/>
          <w:szCs w:val="21"/>
        </w:rPr>
        <w:tab/>
      </w:r>
      <w:r>
        <w:rPr>
          <w:rFonts w:hint="eastAsia"/>
          <w:iCs/>
          <w:kern w:val="0"/>
          <w:szCs w:val="21"/>
        </w:rPr>
        <w:t>债券的价格变化</w:t>
      </w:r>
    </w:p>
    <w:p>
      <w:pPr>
        <w:autoSpaceDE w:val="0"/>
        <w:autoSpaceDN w:val="0"/>
        <w:adjustRightInd w:val="0"/>
        <w:ind w:firstLine="420"/>
        <w:jc w:val="left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  <w:vertAlign w:val="superscript"/>
        </w:rPr>
        <w:t xml:space="preserve">P      </w:t>
      </w:r>
      <w:r>
        <w:rPr>
          <w:szCs w:val="21"/>
          <w:vertAlign w:val="superscript"/>
        </w:rPr>
        <w:tab/>
      </w:r>
      <w:r>
        <w:rPr>
          <w:rFonts w:hint="eastAsia"/>
          <w:szCs w:val="21"/>
        </w:rPr>
        <w:t>价格久期</w:t>
      </w:r>
    </w:p>
    <w:p>
      <w:pPr>
        <w:ind w:firstLine="420"/>
        <w:rPr>
          <w:szCs w:val="21"/>
        </w:rPr>
      </w:pPr>
      <w:r>
        <w:rPr>
          <w:rFonts w:ascii="Symbol" w:hAnsi="Symbol" w:cs="Symbol"/>
          <w:kern w:val="0"/>
          <w:szCs w:val="21"/>
        </w:rPr>
        <w:t></w:t>
      </w:r>
      <w:r>
        <w:rPr>
          <w:rFonts w:hint="eastAsia"/>
          <w:szCs w:val="21"/>
        </w:rPr>
        <w:t xml:space="preserve"> Y   </w:t>
      </w:r>
      <w:r>
        <w:rPr>
          <w:szCs w:val="21"/>
        </w:rPr>
        <w:tab/>
      </w:r>
      <w:r>
        <w:rPr>
          <w:rFonts w:hint="eastAsia"/>
          <w:szCs w:val="21"/>
        </w:rPr>
        <w:t>债券收益率的微小变化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Y     </w:t>
      </w:r>
      <w:r>
        <w:rPr>
          <w:szCs w:val="21"/>
        </w:rPr>
        <w:tab/>
      </w:r>
      <w:r>
        <w:rPr>
          <w:rFonts w:hint="eastAsia"/>
          <w:szCs w:val="21"/>
        </w:rPr>
        <w:t>债券的到期收益率</w:t>
      </w:r>
    </w:p>
    <w:p>
      <w:pPr>
        <w:autoSpaceDE w:val="0"/>
        <w:autoSpaceDN w:val="0"/>
        <w:adjustRightInd w:val="0"/>
        <w:ind w:firstLine="420"/>
        <w:jc w:val="left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  <w:vertAlign w:val="superscript"/>
        </w:rPr>
        <w:t xml:space="preserve">P      </w:t>
      </w:r>
      <w:r>
        <w:rPr>
          <w:szCs w:val="21"/>
          <w:vertAlign w:val="superscript"/>
        </w:rPr>
        <w:tab/>
      </w:r>
      <w:r>
        <w:rPr>
          <w:rFonts w:hint="eastAsia"/>
          <w:szCs w:val="21"/>
        </w:rPr>
        <w:t>价格凸性</w:t>
      </w:r>
    </w:p>
    <w:p>
      <w:pPr>
        <w:autoSpaceDE w:val="0"/>
        <w:autoSpaceDN w:val="0"/>
        <w:adjustRightInd w:val="0"/>
        <w:ind w:firstLine="420"/>
        <w:jc w:val="left"/>
        <w:rPr>
          <w:szCs w:val="21"/>
        </w:rPr>
      </w:pPr>
      <w:r>
        <w:rPr>
          <w:rFonts w:hint="eastAsia"/>
          <w:szCs w:val="21"/>
        </w:rPr>
        <w:t xml:space="preserve">P     </w:t>
      </w:r>
      <w:r>
        <w:rPr>
          <w:szCs w:val="21"/>
        </w:rPr>
        <w:tab/>
      </w:r>
      <w:r>
        <w:rPr>
          <w:rFonts w:hint="eastAsia"/>
          <w:szCs w:val="21"/>
        </w:rPr>
        <w:t>当前支付的债券价格（包括应付利息）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D     </w:t>
      </w:r>
      <w:r>
        <w:rPr>
          <w:szCs w:val="21"/>
        </w:rPr>
        <w:tab/>
      </w:r>
      <w:r>
        <w:rPr>
          <w:rFonts w:hint="eastAsia"/>
          <w:szCs w:val="21"/>
        </w:rPr>
        <w:t>麦考利久期</w:t>
      </w:r>
    </w:p>
    <w:p>
      <w:pPr>
        <w:autoSpaceDE w:val="0"/>
        <w:autoSpaceDN w:val="0"/>
        <w:adjustRightInd w:val="0"/>
        <w:ind w:firstLine="420"/>
        <w:jc w:val="left"/>
        <w:rPr>
          <w:szCs w:val="21"/>
        </w:rPr>
      </w:pPr>
      <w:r>
        <w:rPr>
          <w:rFonts w:hint="eastAsia"/>
          <w:szCs w:val="21"/>
        </w:rPr>
        <w:t xml:space="preserve">C     </w:t>
      </w:r>
      <w:r>
        <w:rPr>
          <w:szCs w:val="21"/>
        </w:rPr>
        <w:tab/>
      </w:r>
      <w:r>
        <w:rPr>
          <w:rFonts w:hint="eastAsia"/>
          <w:szCs w:val="21"/>
        </w:rPr>
        <w:t>凸性</w:t>
      </w:r>
    </w:p>
    <w:p>
      <w:pPr>
        <w:autoSpaceDE w:val="0"/>
        <w:autoSpaceDN w:val="0"/>
        <w:adjustRightInd w:val="0"/>
        <w:ind w:firstLine="420"/>
        <w:jc w:val="left"/>
        <w:rPr>
          <w:kern w:val="0"/>
          <w:sz w:val="20"/>
          <w:szCs w:val="20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  <w:vertAlign w:val="superscript"/>
        </w:rPr>
        <w:t xml:space="preserve">mod    </w:t>
      </w:r>
      <w:r>
        <w:rPr>
          <w:szCs w:val="21"/>
          <w:vertAlign w:val="superscript"/>
        </w:rPr>
        <w:tab/>
      </w:r>
      <w:r>
        <w:rPr>
          <w:rFonts w:hint="eastAsia"/>
          <w:szCs w:val="21"/>
        </w:rPr>
        <w:t>修正久期</w:t>
      </w:r>
    </w:p>
    <w:p>
      <w:pPr>
        <w:autoSpaceDE w:val="0"/>
        <w:autoSpaceDN w:val="0"/>
        <w:adjustRightInd w:val="0"/>
        <w:ind w:firstLine="420"/>
        <w:jc w:val="left"/>
        <w:rPr>
          <w:kern w:val="0"/>
          <w:sz w:val="20"/>
          <w:szCs w:val="20"/>
        </w:rPr>
      </w:pPr>
    </w:p>
    <w:p>
      <w:pPr>
        <w:pStyle w:val="5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.5.3</w:t>
      </w:r>
      <w:r>
        <w:rPr>
          <w:rFonts w:hint="eastAsia"/>
          <w:lang w:eastAsia="zh-CN"/>
        </w:rPr>
        <w:t>投资组合凸性</w:t>
      </w:r>
    </w:p>
    <w:p>
      <w:pPr>
        <w:jc w:val="center"/>
        <w:rPr>
          <w:szCs w:val="21"/>
        </w:rPr>
      </w:pPr>
      <w:r>
        <w:rPr>
          <w:position w:val="-28"/>
          <w:szCs w:val="21"/>
        </w:rPr>
        <w:object>
          <v:shape id="_x0000_i1082" o:spt="75" type="#_x0000_t75" style="height:33.7pt;width:143.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6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w</w:t>
      </w:r>
      <w:r>
        <w:rPr>
          <w:rFonts w:hint="eastAsia"/>
          <w:szCs w:val="21"/>
          <w:vertAlign w:val="subscript"/>
        </w:rPr>
        <w:t xml:space="preserve">i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债券i在投资组合中的比重（以市值衡量）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C</w:t>
      </w:r>
      <w:r>
        <w:rPr>
          <w:rFonts w:hint="eastAsia"/>
          <w:szCs w:val="21"/>
          <w:vertAlign w:val="subscript"/>
        </w:rPr>
        <w:t xml:space="preserve">i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债券i的凸性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n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投资组合中债券的数目</w:t>
      </w:r>
    </w:p>
    <w:p>
      <w:pPr>
        <w:ind w:firstLine="420"/>
        <w:rPr>
          <w:szCs w:val="21"/>
        </w:rPr>
      </w:pPr>
    </w:p>
    <w:p>
      <w:pPr>
        <w:pStyle w:val="6"/>
      </w:pPr>
      <w:r>
        <w:rPr>
          <w:rFonts w:hint="eastAsia"/>
        </w:rPr>
        <w:t>投资组合久期</w:t>
      </w:r>
    </w:p>
    <w:p>
      <w:pPr>
        <w:jc w:val="center"/>
        <w:rPr>
          <w:szCs w:val="21"/>
        </w:rPr>
      </w:pPr>
      <w:r>
        <w:rPr>
          <w:position w:val="-28"/>
        </w:rPr>
        <w:object>
          <v:shape id="_x0000_i1083" o:spt="75" type="#_x0000_t75" style="height:34.7pt;width:74.0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8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w</w:t>
      </w:r>
      <w:r>
        <w:rPr>
          <w:rFonts w:hint="eastAsia"/>
          <w:szCs w:val="21"/>
          <w:vertAlign w:val="subscript"/>
        </w:rPr>
        <w:t xml:space="preserve">i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资产投资于债券的比例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D</w:t>
      </w:r>
      <w:r>
        <w:rPr>
          <w:rFonts w:hint="eastAsia"/>
          <w:szCs w:val="21"/>
          <w:vertAlign w:val="subscript"/>
        </w:rPr>
        <w:t xml:space="preserve">i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债券i的久期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n   </w:t>
      </w:r>
      <w:r>
        <w:rPr>
          <w:szCs w:val="21"/>
        </w:rPr>
        <w:tab/>
      </w:r>
      <w:r>
        <w:rPr>
          <w:rFonts w:hint="eastAsia"/>
          <w:szCs w:val="21"/>
        </w:rPr>
        <w:t>投资组合中债券的数量</w:t>
      </w:r>
    </w:p>
    <w:p>
      <w:pPr>
        <w:rPr>
          <w:szCs w:val="21"/>
        </w:rPr>
      </w:pPr>
    </w:p>
    <w:p>
      <w:pPr>
        <w:rPr>
          <w:b/>
        </w:rPr>
      </w:pPr>
      <w:r>
        <w:rPr>
          <w:rFonts w:hint="eastAsia"/>
          <w:b/>
        </w:rPr>
        <w:t>使用修正久期估计债券组合的到期收益率（近似公式）</w:t>
      </w:r>
    </w:p>
    <w:p>
      <w:pPr>
        <w:jc w:val="center"/>
        <w:rPr>
          <w:b/>
          <w:color w:val="FF0000"/>
        </w:rPr>
      </w:pPr>
      <w:r>
        <w:rPr>
          <w:b/>
          <w:color w:val="FF0000"/>
          <w:position w:val="-62"/>
        </w:rPr>
        <w:object>
          <v:shape id="_x0000_i1084" o:spt="75" type="#_x0000_t75" style="height:67.4pt;width:174.1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3" ShapeID="_x0000_i1084" DrawAspect="Content" ObjectID="_1468075784" r:id="rId120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</w:pPr>
      <w:r>
        <w:rPr>
          <w:position w:val="-14"/>
        </w:rPr>
        <w:object>
          <v:shape id="_x0000_i1085" o:spt="75" type="#_x0000_t75" style="height:18.9pt;width:30.6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2">
            <o:LockedField>false</o:LockedField>
          </o:OLEObject>
        </w:object>
      </w:r>
      <w:r>
        <w:tab/>
      </w:r>
      <w:r>
        <w:tab/>
      </w:r>
      <w:r>
        <w:rPr>
          <w:rFonts w:hint="eastAsia"/>
        </w:rPr>
        <w:t>投资组合收益率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PV</w:t>
      </w:r>
      <w:r>
        <w:rPr>
          <w:rFonts w:hint="eastAsia"/>
          <w:szCs w:val="21"/>
          <w:vertAlign w:val="subscript"/>
        </w:rPr>
        <w:t>j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债券j的现值</w:t>
      </w:r>
    </w:p>
    <w:p>
      <w:pPr>
        <w:ind w:firstLine="420"/>
        <w:rPr>
          <w:szCs w:val="21"/>
        </w:rPr>
      </w:pPr>
      <w:r>
        <w:rPr>
          <w:position w:val="-14"/>
        </w:rPr>
        <w:object>
          <v:shape id="_x0000_i1086" o:spt="75" type="#_x0000_t75" style="height:20.45pt;width:26.0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4">
            <o:LockedField>false</o:LockedField>
          </o:OLEObject>
        </w:object>
      </w:r>
      <w:r>
        <w:tab/>
      </w:r>
      <w:r>
        <w:tab/>
      </w:r>
      <w:r>
        <w:rPr>
          <w:rFonts w:hint="eastAsia"/>
        </w:rPr>
        <w:t>修正的债券</w:t>
      </w:r>
      <w:r>
        <w:t>j</w:t>
      </w:r>
      <w:r>
        <w:rPr>
          <w:rFonts w:hint="eastAsia"/>
        </w:rPr>
        <w:t>的久期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n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投资组合中债券的数量</w:t>
      </w:r>
    </w:p>
    <w:p>
      <w:pPr>
        <w:jc w:val="center"/>
        <w:rPr>
          <w:b/>
          <w:color w:val="FF0000"/>
          <w:szCs w:val="21"/>
        </w:rPr>
      </w:pPr>
    </w:p>
    <w:p>
      <w:pPr>
        <w:pStyle w:val="3"/>
        <w:rPr>
          <w:lang w:eastAsia="zh-CN"/>
        </w:rPr>
      </w:pPr>
      <w:bookmarkStart w:id="11" w:name="_Toc26411"/>
      <w:r>
        <w:rPr>
          <w:lang w:eastAsia="zh-CN"/>
        </w:rPr>
        <w:t>2</w:t>
      </w:r>
      <w:r>
        <w:rPr>
          <w:rFonts w:hint="eastAsia"/>
          <w:lang w:eastAsia="zh-CN"/>
        </w:rPr>
        <w:t xml:space="preserve"> 混合证券</w:t>
      </w:r>
      <w:bookmarkEnd w:id="11"/>
    </w:p>
    <w:p>
      <w:pPr>
        <w:pStyle w:val="4"/>
        <w:rPr>
          <w:lang w:eastAsia="zh-CN"/>
        </w:rPr>
      </w:pPr>
      <w:bookmarkStart w:id="12" w:name="_Toc7620"/>
      <w:r>
        <w:rPr>
          <w:rFonts w:hint="eastAsia"/>
          <w:lang w:eastAsia="zh-CN"/>
        </w:rPr>
        <w:t>2.1认股权证</w:t>
      </w:r>
      <w:bookmarkEnd w:id="12"/>
    </w:p>
    <w:p>
      <w:pPr>
        <w:pStyle w:val="6"/>
      </w:pPr>
      <w:r>
        <w:rPr>
          <w:rFonts w:hint="eastAsia"/>
        </w:rPr>
        <w:t>认股权证定价</w:t>
      </w:r>
    </w:p>
    <w:p>
      <w:pPr>
        <w:jc w:val="center"/>
      </w:pPr>
      <w:r>
        <w:rPr>
          <w:position w:val="-24"/>
        </w:rPr>
        <w:object>
          <v:shape id="_x0000_i1087" o:spt="75" type="#_x0000_t75" style="height:31.65pt;width:77.1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3" ShapeID="_x0000_i1087" DrawAspect="Content" ObjectID="_1468075787" r:id="rId126">
            <o:LockedField>false</o:LockedField>
          </o:OLEObject>
        </w:object>
      </w:r>
    </w:p>
    <w:p>
      <w:r>
        <w:rPr>
          <w:rFonts w:hint="eastAsia"/>
        </w:rPr>
        <w:t>此处，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 xml:space="preserve">W   </w:t>
      </w:r>
      <w:r>
        <w:rPr>
          <w:szCs w:val="21"/>
        </w:rPr>
        <w:tab/>
      </w:r>
      <w:r>
        <w:rPr>
          <w:rFonts w:hint="eastAsia"/>
          <w:szCs w:val="21"/>
        </w:rPr>
        <w:t>认股权证的价值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C   </w:t>
      </w:r>
      <w:r>
        <w:rPr>
          <w:szCs w:val="21"/>
        </w:rPr>
        <w:tab/>
      </w:r>
      <w:r>
        <w:rPr>
          <w:rFonts w:hint="eastAsia"/>
          <w:szCs w:val="21"/>
        </w:rPr>
        <w:t>依据Black-Scholes模型确定的常规看涨期权的价值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N   </w:t>
      </w:r>
      <w:r>
        <w:rPr>
          <w:szCs w:val="21"/>
        </w:rPr>
        <w:tab/>
      </w:r>
      <w:r>
        <w:rPr>
          <w:rFonts w:hint="eastAsia"/>
          <w:szCs w:val="21"/>
        </w:rPr>
        <w:t>在发行新股之前公司的股份数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 xml:space="preserve">M   </w:t>
      </w:r>
      <w:r>
        <w:rPr>
          <w:szCs w:val="21"/>
        </w:rPr>
        <w:tab/>
      </w:r>
      <w:r>
        <w:rPr>
          <w:rFonts w:hint="eastAsia"/>
          <w:szCs w:val="21"/>
        </w:rPr>
        <w:t>公司新发行的股份数</w:t>
      </w:r>
    </w:p>
    <w:p/>
    <w:p>
      <w:pPr>
        <w:pStyle w:val="4"/>
        <w:rPr>
          <w:lang w:eastAsia="zh-CN"/>
        </w:rPr>
      </w:pPr>
      <w:bookmarkStart w:id="13" w:name="_Toc11421"/>
      <w:r>
        <w:rPr>
          <w:rFonts w:hint="eastAsia"/>
          <w:lang w:eastAsia="zh-CN"/>
        </w:rPr>
        <w:t>2.2可转换债券</w:t>
      </w:r>
      <w:bookmarkEnd w:id="13"/>
    </w:p>
    <w:p>
      <w:pPr>
        <w:jc w:val="left"/>
        <w:rPr>
          <w:szCs w:val="21"/>
        </w:rPr>
      </w:pPr>
      <w:r>
        <w:rPr>
          <w:rFonts w:hint="eastAsia"/>
          <w:szCs w:val="21"/>
        </w:rPr>
        <w:t>转换比率= 一张债券可转换得到股份数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转换价格= 可转换债券的面值 / 每张债券可转换的股份数（如果有转换发生）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转换价值（平价）= 转换比率×普通股的市场价格</w:t>
      </w:r>
    </w:p>
    <w:p>
      <w:pPr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转换溢价（以百分比算）= （债券市场价格</w:t>
      </w:r>
      <w:r>
        <w:rPr>
          <w:rFonts w:hint="eastAsia" w:ascii="宋体" w:hAnsi="宋体"/>
          <w:szCs w:val="21"/>
        </w:rPr>
        <w:t>－转换价值）/转换价值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投资溢价 =债券市场价格-债券底限价格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投资溢价（以百分比算）= （债券市场价格</w:t>
      </w:r>
      <w:r>
        <w:rPr>
          <w:rFonts w:hint="eastAsia" w:ascii="宋体" w:hAnsi="宋体"/>
          <w:szCs w:val="21"/>
        </w:rPr>
        <w:t>－</w:t>
      </w:r>
      <w:r>
        <w:rPr>
          <w:rFonts w:hint="eastAsia"/>
          <w:szCs w:val="21"/>
        </w:rPr>
        <w:t>债券底限价格</w:t>
      </w:r>
      <w:r>
        <w:rPr>
          <w:rFonts w:hint="eastAsia" w:ascii="宋体" w:hAnsi="宋体"/>
          <w:szCs w:val="21"/>
        </w:rPr>
        <w:t>）/</w:t>
      </w:r>
      <w:r>
        <w:rPr>
          <w:rFonts w:hint="eastAsia"/>
          <w:szCs w:val="21"/>
        </w:rPr>
        <w:t>债券底限价格</w:t>
      </w:r>
    </w:p>
    <w:p>
      <w:pPr>
        <w:jc w:val="left"/>
        <w:rPr>
          <w:szCs w:val="21"/>
        </w:rPr>
      </w:pPr>
    </w:p>
    <w:p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回收分析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P</w:t>
      </w:r>
      <w:r>
        <w:rPr>
          <w:szCs w:val="21"/>
        </w:rPr>
        <w:t>P=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Cs w:val="21"/>
                  </w:rPr>
                  <m:t>(P−CV)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Cs w:val="21"/>
                  </w:rPr>
                  <m:t>CV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den>
            </m:f>
            <m:ctrlPr>
              <w:rPr>
                <w:rFonts w:ascii="Cambria Math" w:hAnsi="Cambria Math"/>
                <w:i/>
                <w:szCs w:val="21"/>
              </w:rPr>
            </m:ctrlPr>
          </m:num>
          <m:den>
            <m:r>
              <m:rPr/>
              <w:rPr>
                <w:rFonts w:ascii="Cambria Math" w:hAnsi="Cambria Math"/>
                <w:szCs w:val="21"/>
              </w:rPr>
              <m:t>(CY−DY)</m:t>
            </m:r>
            <m:ctrlPr>
              <w:rPr>
                <w:rFonts w:ascii="Cambria Math" w:hAnsi="Cambria Math"/>
                <w:i/>
                <w:szCs w:val="21"/>
              </w:rPr>
            </m:ctrlPr>
          </m:den>
        </m:f>
      </m:oMath>
      <w:r>
        <w:rPr>
          <w:rFonts w:hint="eastAsia"/>
          <w:szCs w:val="21"/>
        </w:rPr>
        <w:t>=转换溢价</w:t>
      </w:r>
      <w:r>
        <w:rPr>
          <w:rFonts w:hint="eastAsia" w:ascii="宋体" w:hAnsi="宋体"/>
          <w:szCs w:val="21"/>
        </w:rPr>
        <w:t>／</w:t>
      </w:r>
      <w:r>
        <w:rPr>
          <w:rFonts w:hint="eastAsia"/>
          <w:szCs w:val="21"/>
        </w:rPr>
        <w:t>（C</w:t>
      </w:r>
      <w:r>
        <w:rPr>
          <w:szCs w:val="21"/>
        </w:rPr>
        <w:t>Y-DY</w:t>
      </w:r>
      <w:r>
        <w:rPr>
          <w:rFonts w:hint="eastAsia"/>
          <w:szCs w:val="21"/>
        </w:rPr>
        <w:t>）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此处，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P</w:t>
      </w:r>
      <w:r>
        <w:rPr>
          <w:szCs w:val="21"/>
        </w:rPr>
        <w:t xml:space="preserve">P           </w:t>
      </w:r>
      <w:r>
        <w:rPr>
          <w:rFonts w:hint="eastAsia"/>
          <w:szCs w:val="21"/>
        </w:rPr>
        <w:t>回收期年数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P</w:t>
      </w:r>
      <w:r>
        <w:rPr>
          <w:szCs w:val="21"/>
        </w:rPr>
        <w:t xml:space="preserve">             </w:t>
      </w:r>
      <w:r>
        <w:rPr>
          <w:rFonts w:hint="eastAsia"/>
          <w:szCs w:val="21"/>
        </w:rPr>
        <w:t>可转债的市场价格</w:t>
      </w:r>
    </w:p>
    <w:p>
      <w:pPr>
        <w:jc w:val="left"/>
        <w:rPr>
          <w:rFonts w:ascii="宋体" w:hAnsi="宋体"/>
          <w:szCs w:val="21"/>
        </w:rPr>
      </w:pPr>
      <w:r>
        <w:rPr>
          <w:szCs w:val="21"/>
        </w:rPr>
        <w:t xml:space="preserve">CV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可转债的转换价值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C</w:t>
      </w:r>
      <w:r>
        <w:rPr>
          <w:szCs w:val="21"/>
        </w:rPr>
        <w:t xml:space="preserve">Y         </w:t>
      </w:r>
      <w:r>
        <w:rPr>
          <w:rFonts w:hint="eastAsia"/>
          <w:szCs w:val="21"/>
        </w:rPr>
        <w:t>可转债的当前收益率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(CY = </w:t>
      </w:r>
      <w:r>
        <w:rPr>
          <w:rFonts w:hint="eastAsia"/>
          <w:szCs w:val="21"/>
        </w:rPr>
        <w:t>票息</w:t>
      </w:r>
      <w:r>
        <w:rPr>
          <w:rFonts w:hint="eastAsia" w:ascii="宋体" w:hAnsi="宋体"/>
          <w:szCs w:val="21"/>
        </w:rPr>
        <w:t>／</w:t>
      </w:r>
      <w:r>
        <w:rPr>
          <w:rFonts w:hint="eastAsia"/>
          <w:szCs w:val="21"/>
        </w:rPr>
        <w:t>价格)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D</w:t>
      </w:r>
      <w:r>
        <w:rPr>
          <w:szCs w:val="21"/>
        </w:rPr>
        <w:t xml:space="preserve">Y         </w:t>
      </w:r>
      <w:r>
        <w:rPr>
          <w:rFonts w:hint="eastAsia"/>
          <w:szCs w:val="21"/>
        </w:rPr>
        <w:t>普通股票的股息收益率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(DY = </w:t>
      </w:r>
      <w:r>
        <w:rPr>
          <w:rFonts w:hint="eastAsia"/>
          <w:szCs w:val="21"/>
        </w:rPr>
        <w:t>股息金额</w:t>
      </w:r>
      <w:r>
        <w:rPr>
          <w:rFonts w:hint="eastAsia" w:ascii="宋体" w:hAnsi="宋体"/>
          <w:szCs w:val="21"/>
        </w:rPr>
        <w:t>／</w:t>
      </w:r>
      <w:r>
        <w:rPr>
          <w:rFonts w:hint="eastAsia"/>
          <w:szCs w:val="21"/>
        </w:rPr>
        <w:t>股票价格)</w:t>
      </w:r>
    </w:p>
    <w:p>
      <w:pPr>
        <w:jc w:val="center"/>
        <w:rPr>
          <w:szCs w:val="21"/>
        </w:rPr>
      </w:pPr>
    </w:p>
    <w:p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净现值（</w:t>
      </w:r>
      <w:r>
        <w:rPr>
          <w:b/>
          <w:bCs/>
          <w:szCs w:val="21"/>
        </w:rPr>
        <w:t>NPV</w:t>
      </w:r>
      <w:r>
        <w:rPr>
          <w:rFonts w:hint="eastAsia"/>
          <w:b/>
          <w:bCs/>
          <w:szCs w:val="21"/>
        </w:rPr>
        <w:t>）分析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N</w:t>
      </w:r>
      <w:r>
        <w:rPr>
          <w:szCs w:val="21"/>
        </w:rPr>
        <w:t xml:space="preserve">PV = 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m:rPr/>
              <w:rPr>
                <w:rFonts w:ascii="Cambria Math" w:hAnsi="Cambria Math"/>
                <w:szCs w:val="21"/>
              </w:rPr>
              <m:t>C−FV</m:t>
            </m:r>
            <m:ctrlPr>
              <w:rPr>
                <w:rFonts w:ascii="Cambria Math" w:hAnsi="Cambria Math"/>
                <w:i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Cs w:val="21"/>
                  </w:rPr>
                  <m:t>(1+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Cs w:val="21"/>
                      </w:rPr>
                      <m:t>Y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Cs w:val="21"/>
                      </w:rPr>
                      <m:t>nc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  <w:szCs w:val="21"/>
                  </w:rPr>
                  <m:t>)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i/>
                <w:szCs w:val="21"/>
              </w:rPr>
            </m:ctrlPr>
          </m:den>
        </m:f>
      </m:oMath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-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1"/>
              </w:rPr>
            </m:ctrlPr>
          </m:naryPr>
          <m:sub>
            <m:r>
              <m:rPr/>
              <w:rPr>
                <w:rFonts w:ascii="Cambria Math" w:hAnsi="Cambria Math"/>
                <w:szCs w:val="21"/>
              </w:rPr>
              <m:t>t=1</m:t>
            </m:r>
            <m:ctrlPr>
              <w:rPr>
                <w:rFonts w:ascii="Cambria Math" w:hAnsi="Cambria Math"/>
                <w:i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szCs w:val="21"/>
              </w:rPr>
              <m:t>N</m:t>
            </m:r>
            <m:ctrlPr>
              <w:rPr>
                <w:rFonts w:ascii="Cambria Math" w:hAnsi="Cambria Math"/>
                <w:i/>
                <w:szCs w:val="21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i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Cs w:val="21"/>
                  </w:rPr>
                  <m:t>FV×(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Cs w:val="21"/>
                      </w:rPr>
                      <m:t>Y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Cs w:val="21"/>
                      </w:rPr>
                      <m:t>nc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  <w:szCs w:val="21"/>
                  </w:rPr>
                  <m:t>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Cs w:val="21"/>
                      </w:rPr>
                      <m:t>Y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Cs w:val="21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  <w:szCs w:val="21"/>
                  </w:rPr>
                  <m:t>)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  <w:szCs w:val="21"/>
                      </w:rPr>
                      <m:t>(1+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  <w:szCs w:val="21"/>
                          </w:rPr>
                          <m:t>Y</m:t>
                        </m:r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Cs w:val="21"/>
                          </w:rPr>
                          <m:t>nc</m:t>
                        </m:r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sub>
                    </m:sSub>
                    <m:r>
                      <m:rPr/>
                      <w:rPr>
                        <w:rFonts w:ascii="Cambria Math" w:hAnsi="Cambria Math"/>
                        <w:szCs w:val="21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  <w:szCs w:val="21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  <w:szCs w:val="21"/>
                  </w:rPr>
                </m:ctrlPr>
              </m:den>
            </m:f>
            <m:ctrlPr>
              <w:rPr>
                <w:rFonts w:ascii="Cambria Math" w:hAnsi="Cambria Math"/>
                <w:i/>
                <w:szCs w:val="21"/>
              </w:rPr>
            </m:ctrlPr>
          </m:e>
        </m:nary>
      </m:oMath>
    </w:p>
    <w:p>
      <w:pPr>
        <w:jc w:val="left"/>
        <w:rPr>
          <w:szCs w:val="21"/>
        </w:rPr>
      </w:pPr>
      <w:r>
        <w:rPr>
          <w:rFonts w:hint="eastAsia"/>
          <w:szCs w:val="21"/>
        </w:rPr>
        <w:t>此处：</w:t>
      </w:r>
    </w:p>
    <w:p>
      <w:pPr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C      </w:t>
      </w:r>
      <w:r>
        <w:rPr>
          <w:rFonts w:hint="eastAsia"/>
          <w:color w:val="FF0000"/>
          <w:szCs w:val="21"/>
          <w:lang w:val="en-US" w:eastAsia="zh-CN"/>
        </w:rPr>
        <w:t xml:space="preserve">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赎回价格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FV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>面额</w:t>
      </w:r>
    </w:p>
    <w:p>
      <w:pPr>
        <w:jc w:val="left"/>
        <w:rPr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Cs w:val="21"/>
              </w:rPr>
              <m:t>Y</m:t>
            </m:r>
            <m:ctrlPr>
              <w:rPr>
                <w:rFonts w:ascii="Cambria Math" w:hAnsi="Cambria Math"/>
                <w:i/>
                <w:szCs w:val="21"/>
              </w:rPr>
            </m:ctrlPr>
          </m:e>
          <m:sub>
            <m:r>
              <m:rPr/>
              <w:rPr>
                <w:rFonts w:ascii="Cambria Math" w:hAnsi="Cambria Math"/>
                <w:szCs w:val="21"/>
              </w:rPr>
              <m:t>nc</m:t>
            </m:r>
            <m:ctrlPr>
              <w:rPr>
                <w:rFonts w:ascii="Cambria Math" w:hAnsi="Cambria Math"/>
                <w:i/>
                <w:szCs w:val="21"/>
              </w:rPr>
            </m:ctrlPr>
          </m:sub>
        </m:sSub>
      </m:oMath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>同样特征的不可转换证券的收益率</w:t>
      </w:r>
    </w:p>
    <w:p>
      <w:pPr>
        <w:jc w:val="left"/>
        <w:rPr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m:rPr/>
              <w:rPr>
                <w:rFonts w:hint="eastAsia" w:ascii="Cambria Math" w:hAnsi="Cambria Math"/>
                <w:szCs w:val="21"/>
              </w:rPr>
              <m:t>Y</m:t>
            </m:r>
            <m:ctrlPr>
              <w:rPr>
                <w:rFonts w:ascii="Cambria Math" w:hAnsi="Cambria Math"/>
                <w:i/>
                <w:szCs w:val="21"/>
              </w:rPr>
            </m:ctrlPr>
          </m:e>
          <m:sub>
            <m:r>
              <m:rPr/>
              <w:rPr>
                <w:rFonts w:hint="eastAsia" w:ascii="Cambria Math" w:hAnsi="Cambria Math"/>
                <w:szCs w:val="21"/>
              </w:rPr>
              <m:t>c</m:t>
            </m:r>
            <m:ctrlPr>
              <w:rPr>
                <w:rFonts w:ascii="Cambria Math" w:hAnsi="Cambria Math"/>
                <w:i/>
                <w:szCs w:val="21"/>
              </w:rPr>
            </m:ctrlPr>
          </m:sub>
        </m:sSub>
      </m:oMath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</w:t>
      </w:r>
      <w:r>
        <w:rPr>
          <w:rFonts w:hint="eastAsia"/>
          <w:szCs w:val="21"/>
        </w:rPr>
        <w:t>可转换证券的收益率</w:t>
      </w:r>
    </w:p>
    <w:p>
      <w:pPr>
        <w:jc w:val="left"/>
        <w:rPr>
          <w:szCs w:val="21"/>
        </w:rPr>
      </w:pPr>
      <w:r>
        <w:rPr>
          <w:szCs w:val="21"/>
        </w:rPr>
        <w:t xml:space="preserve">n                </w:t>
      </w:r>
      <w:r>
        <w:rPr>
          <w:rFonts w:hint="eastAsia"/>
          <w:szCs w:val="21"/>
        </w:rPr>
        <w:t>可转换证券被赎回之前的年数</w:t>
      </w:r>
      <w:r>
        <w:rPr>
          <w:szCs w:val="21"/>
        </w:rPr>
        <w:t xml:space="preserve">          </w:t>
      </w:r>
    </w:p>
    <w:p>
      <w:pPr>
        <w:jc w:val="center"/>
        <w:rPr>
          <w:szCs w:val="21"/>
        </w:rPr>
      </w:pPr>
    </w:p>
    <w:p>
      <w:pPr>
        <w:pStyle w:val="4"/>
        <w:rPr>
          <w:lang w:eastAsia="zh-CN"/>
        </w:rPr>
      </w:pPr>
      <w:bookmarkStart w:id="14" w:name="_Toc409533596"/>
      <w:bookmarkStart w:id="15" w:name="_Toc3993"/>
      <w:r>
        <w:rPr>
          <w:rFonts w:hint="eastAsia"/>
          <w:lang w:eastAsia="zh-CN"/>
        </w:rPr>
        <w:t>2.3可赎回债券</w:t>
      </w:r>
      <w:bookmarkEnd w:id="14"/>
      <w:bookmarkEnd w:id="15"/>
      <w:bookmarkStart w:id="16" w:name="_Toc409533597"/>
    </w:p>
    <w:p>
      <w:pPr>
        <w:pStyle w:val="5"/>
        <w:rPr>
          <w:lang w:eastAsia="zh-CN"/>
        </w:rPr>
      </w:pPr>
      <w:r>
        <w:rPr>
          <w:rFonts w:hint="eastAsia"/>
          <w:lang w:eastAsia="zh-CN"/>
        </w:rPr>
        <w:t>2.3.1 估值和久期</w:t>
      </w:r>
      <w:bookmarkEnd w:id="16"/>
    </w:p>
    <w:p>
      <w:pPr>
        <w:pStyle w:val="6"/>
      </w:pPr>
      <w:r>
        <w:rPr>
          <w:rFonts w:hint="eastAsia"/>
        </w:rPr>
        <w:t>确定赎回权（看涨期权）的价值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可赎回债券价格 = 不含赎回权的对应债券价格</w:t>
      </w:r>
      <w:r>
        <w:rPr>
          <w:szCs w:val="21"/>
        </w:rPr>
        <w:t>–</w:t>
      </w:r>
      <w:r>
        <w:rPr>
          <w:rFonts w:hint="eastAsia"/>
          <w:szCs w:val="21"/>
        </w:rPr>
        <w:t>看涨期权价格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有效久期和凸性</w:t>
      </w:r>
    </w:p>
    <w:p>
      <w:pPr>
        <w:jc w:val="center"/>
      </w:pPr>
      <w:r>
        <w:rPr>
          <w:color w:val="FF0000"/>
          <w:position w:val="-30"/>
        </w:rPr>
        <w:object>
          <v:shape id="_x0000_i1088" o:spt="75" type="#_x0000_t75" style="height:35.25pt;width:214.4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8">
            <o:LockedField>false</o:LockedField>
          </o:OLEObject>
        </w:object>
      </w:r>
    </w:p>
    <w:p>
      <w:pPr>
        <w:jc w:val="center"/>
        <w:rPr>
          <w:szCs w:val="21"/>
        </w:rPr>
      </w:pPr>
      <w:r>
        <w:rPr>
          <w:position w:val="-30"/>
        </w:rPr>
        <w:object>
          <v:shape id="_x0000_i1089" o:spt="75" type="#_x0000_t75" style="height:38.8pt;width:409.5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0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>P</w:t>
      </w:r>
      <w:r>
        <w:rPr>
          <w:szCs w:val="21"/>
          <w:vertAlign w:val="subscript"/>
        </w:rPr>
        <w:t>cf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价格（不可赎回）</w:t>
      </w:r>
    </w:p>
    <w:p>
      <w:pPr>
        <w:ind w:firstLine="420"/>
        <w:rPr>
          <w:szCs w:val="21"/>
        </w:rPr>
      </w:pPr>
      <w:bookmarkStart w:id="17" w:name="_Hlk119339367"/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callable</w:t>
      </w:r>
      <w:bookmarkEnd w:id="17"/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价格（可赎回）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D</w:t>
      </w:r>
      <w:r>
        <w:rPr>
          <w:szCs w:val="21"/>
          <w:vertAlign w:val="subscript"/>
        </w:rPr>
        <w:t>cfbond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不可赎回债券的久期</w:t>
      </w:r>
    </w:p>
    <w:p>
      <w:pPr>
        <w:ind w:firstLine="435"/>
        <w:rPr>
          <w:szCs w:val="21"/>
        </w:rPr>
      </w:pPr>
      <w:r>
        <w:rPr>
          <w:position w:val="-6"/>
          <w:szCs w:val="21"/>
        </w:rPr>
        <w:object>
          <v:shape id="_x0000_i1090" o:spt="75" type="#_x0000_t75" style="height:14.3pt;width:11.25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3" ShapeID="_x0000_i1090" DrawAspect="Content" ObjectID="_1468075790" r:id="rId132">
            <o:LockedField>false</o:LockedField>
          </o:OLEObject>
        </w:object>
      </w:r>
      <w:r>
        <w:rPr>
          <w:position w:val="-6"/>
          <w:szCs w:val="21"/>
        </w:rPr>
        <w:tab/>
      </w:r>
      <w:r>
        <w:rPr>
          <w:position w:val="-6"/>
          <w:szCs w:val="21"/>
        </w:rPr>
        <w:tab/>
      </w:r>
      <w:r>
        <w:rPr>
          <w:position w:val="-6"/>
          <w:szCs w:val="21"/>
        </w:rPr>
        <w:tab/>
      </w:r>
      <w:r>
        <w:rPr>
          <w:rFonts w:hint="eastAsia"/>
          <w:szCs w:val="21"/>
        </w:rPr>
        <w:t>债券中含有的看涨期权的德尔塔系数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C</w:t>
      </w:r>
      <w:r>
        <w:rPr>
          <w:szCs w:val="21"/>
          <w:vertAlign w:val="subscript"/>
        </w:rPr>
        <w:t>cfbond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不可赎回债券的凸性</w:t>
      </w:r>
    </w:p>
    <w:p>
      <w:pPr>
        <w:ind w:firstLine="435"/>
        <w:rPr>
          <w:szCs w:val="21"/>
        </w:rPr>
      </w:pPr>
      <w:r>
        <w:rPr>
          <w:position w:val="-10"/>
          <w:szCs w:val="21"/>
        </w:rPr>
        <w:object>
          <v:shape id="_x0000_i1091" o:spt="75" type="#_x0000_t75" style="height:13.3pt;width:11.2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3" ShapeID="_x0000_i1091" DrawAspect="Content" ObjectID="_1468075791" r:id="rId134">
            <o:LockedField>false</o:LockedField>
          </o:OLEObject>
        </w:object>
      </w:r>
      <w:r>
        <w:rPr>
          <w:position w:val="-10"/>
          <w:szCs w:val="21"/>
        </w:rPr>
        <w:tab/>
      </w:r>
      <w:r>
        <w:rPr>
          <w:position w:val="-10"/>
          <w:szCs w:val="21"/>
        </w:rPr>
        <w:tab/>
      </w:r>
      <w:r>
        <w:rPr>
          <w:position w:val="-10"/>
          <w:szCs w:val="21"/>
        </w:rPr>
        <w:tab/>
      </w:r>
      <w:r>
        <w:rPr>
          <w:rFonts w:hint="eastAsia"/>
          <w:szCs w:val="21"/>
        </w:rPr>
        <w:t>债券中含有的看涨期权的伽玛系数</w:t>
      </w:r>
    </w:p>
    <w:p>
      <w:pPr>
        <w:rPr>
          <w:szCs w:val="21"/>
        </w:rPr>
      </w:pPr>
    </w:p>
    <w:p>
      <w:pPr>
        <w:pStyle w:val="4"/>
        <w:rPr>
          <w:lang w:eastAsia="zh-CN"/>
        </w:rPr>
      </w:pPr>
      <w:bookmarkStart w:id="18" w:name="_Toc449"/>
      <w:r>
        <w:rPr>
          <w:rFonts w:hint="eastAsia"/>
          <w:lang w:eastAsia="zh-CN"/>
        </w:rPr>
        <w:t>2.4 浮动利率债券</w:t>
      </w:r>
      <w:bookmarkEnd w:id="18"/>
    </w:p>
    <w:p>
      <w:pPr>
        <w:pStyle w:val="6"/>
      </w:pPr>
      <w:r>
        <w:rPr>
          <w:rFonts w:hint="eastAsia"/>
        </w:rPr>
        <w:t>浮动利率债券的定价</w:t>
      </w:r>
    </w:p>
    <w:p>
      <w:pPr>
        <w:jc w:val="center"/>
      </w:pPr>
      <w:r>
        <w:rPr>
          <w:b/>
          <w:color w:val="FF0000"/>
          <w:position w:val="-32"/>
        </w:rPr>
        <w:object>
          <v:shape id="_x0000_i1092" o:spt="75" type="#_x0000_t75" style="height:36.75pt;width:228.2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3" ShapeID="_x0000_i1092" DrawAspect="Content" ObjectID="_1468075792" r:id="rId136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 xml:space="preserve">cum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债券的当前价格（包括应计利息）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 xml:space="preserve">ex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零息债券的价格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 xml:space="preserve">f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 w:ascii="宋体" w:hAnsi="宋体"/>
        </w:rPr>
        <w:t>自上一次付息日的时间，以年的分数形式计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  <w:vertAlign w:val="subscript"/>
        </w:rPr>
        <w:t xml:space="preserve">1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下一个票息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0,1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从0到1期间的即期利率</w:t>
      </w:r>
    </w:p>
    <w:p/>
    <w:p>
      <w:pPr>
        <w:pStyle w:val="4"/>
        <w:rPr>
          <w:lang w:eastAsia="zh-CN"/>
        </w:rPr>
      </w:pPr>
      <w:bookmarkStart w:id="19" w:name="_Toc15587"/>
      <w:r>
        <w:rPr>
          <w:rFonts w:hint="eastAsia"/>
          <w:lang w:eastAsia="zh-CN"/>
        </w:rPr>
        <w:t>2.5通胀挂钩债券</w:t>
      </w:r>
      <w:bookmarkEnd w:id="19"/>
    </w:p>
    <w:p>
      <w:pPr>
        <w:pStyle w:val="6"/>
      </w:pPr>
      <w:r>
        <w:rPr>
          <w:rFonts w:hint="eastAsia"/>
        </w:rPr>
        <w:t>传统债券收益率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（1+名义收益率）=（1+实际收益率）（1+预期通货膨胀率）（1+通货膨胀风险溢价）</w:t>
      </w:r>
    </w:p>
    <w:p>
      <w:pPr>
        <w:rPr>
          <w:szCs w:val="21"/>
        </w:rPr>
      </w:pPr>
      <w:r>
        <w:rPr>
          <w:rFonts w:hint="eastAsia"/>
          <w:szCs w:val="21"/>
        </w:rPr>
        <w:t>当变量值很小，表达式可近似地简化为：</w:t>
      </w:r>
    </w:p>
    <w:p>
      <w:pPr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名义收益率=实际收益率+预期通货膨胀率+通货膨胀风险溢价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通胀挂钩收益率=实际收益率+实际通货膨胀率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损益平衡通货膨胀率=名义收益率-通胀挂钩收益率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指数化的本金</w:t>
      </w:r>
    </w:p>
    <w:p>
      <w:pPr>
        <w:jc w:val="center"/>
        <w:rPr>
          <w:b/>
          <w:szCs w:val="21"/>
        </w:rPr>
      </w:pPr>
      <w:r>
        <w:rPr>
          <w:b/>
          <w:position w:val="-12"/>
          <w:szCs w:val="21"/>
        </w:rPr>
        <w:object>
          <v:shape id="_x0000_i1093" o:spt="75" type="#_x0000_t75" style="height:18.9pt;width:91.4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3" ShapeID="_x0000_i1093" DrawAspect="Content" ObjectID="_1468075793" r:id="rId138">
            <o:LockedField>false</o:LockedField>
          </o:OLEObject>
        </w:object>
      </w:r>
    </w:p>
    <w:p>
      <w:pPr>
        <w:jc w:val="center"/>
        <w:rPr>
          <w:b/>
          <w:szCs w:val="21"/>
        </w:rPr>
      </w:pPr>
      <w:r>
        <w:rPr>
          <w:b/>
          <w:position w:val="-12"/>
          <w:szCs w:val="21"/>
        </w:rPr>
        <w:object>
          <v:shape id="_x0000_i1094" o:spt="75" type="#_x0000_t75" style="height:18.9pt;width:68.9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3" ShapeID="_x0000_i1094" DrawAspect="Content" ObjectID="_1468075794" r:id="rId140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N</w:t>
      </w:r>
      <w:r>
        <w:rPr>
          <w:rFonts w:hint="eastAsia"/>
          <w:szCs w:val="21"/>
          <w:vertAlign w:val="subscript"/>
        </w:rPr>
        <w:t xml:space="preserve">t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 w:ascii="宋体" w:hAnsi="宋体"/>
        </w:rPr>
        <w:t>按时刻t的通货膨胀率指数化的本金</w:t>
      </w:r>
    </w:p>
    <w:p>
      <w:pPr>
        <w:ind w:firstLine="420"/>
        <w:rPr>
          <w:rFonts w:ascii="宋体" w:hAnsi="宋体"/>
        </w:rPr>
      </w:pPr>
      <w:r>
        <w:rPr>
          <w:rFonts w:hint="eastAsia"/>
          <w:szCs w:val="21"/>
        </w:rPr>
        <w:t>CF</w:t>
      </w:r>
      <w:r>
        <w:rPr>
          <w:rFonts w:hint="eastAsia"/>
          <w:szCs w:val="21"/>
          <w:vertAlign w:val="subscript"/>
        </w:rPr>
        <w:t xml:space="preserve">t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 w:ascii="宋体" w:hAnsi="宋体"/>
        </w:rPr>
        <w:t>在时刻t的现金流量</w:t>
      </w:r>
    </w:p>
    <w:p>
      <w:pPr>
        <w:ind w:firstLine="420"/>
        <w:rPr>
          <w:szCs w:val="21"/>
        </w:rPr>
      </w:pPr>
      <w:r>
        <w:rPr>
          <w:b/>
          <w:position w:val="-12"/>
          <w:szCs w:val="21"/>
        </w:rPr>
        <w:object>
          <v:shape id="_x0000_i1095" o:spt="75" type="#_x0000_t75" style="height:18.9pt;width:14.3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3" ShapeID="_x0000_i1095" DrawAspect="Content" ObjectID="_1468075795" r:id="rId142">
            <o:LockedField>false</o:LockedField>
          </o:OLEObject>
        </w:object>
      </w:r>
      <w:r>
        <w:rPr>
          <w:rFonts w:hint="eastAsia"/>
          <w:b/>
          <w:position w:val="-12"/>
          <w:szCs w:val="21"/>
        </w:rPr>
        <w:t xml:space="preserve">  </w:t>
      </w:r>
      <w:r>
        <w:rPr>
          <w:b/>
          <w:position w:val="-12"/>
          <w:szCs w:val="21"/>
        </w:rPr>
        <w:tab/>
      </w:r>
      <w:r>
        <w:rPr>
          <w:b/>
          <w:position w:val="-12"/>
          <w:szCs w:val="21"/>
        </w:rPr>
        <w:tab/>
      </w:r>
      <w:r>
        <w:rPr>
          <w:rFonts w:hint="eastAsia" w:ascii="宋体" w:hAnsi="宋体"/>
        </w:rPr>
        <w:t>在时刻t的通货膨胀率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CR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债券实际票面利率</w:t>
      </w:r>
    </w:p>
    <w:p>
      <w:pPr>
        <w:rPr>
          <w:b/>
          <w:szCs w:val="21"/>
        </w:rPr>
      </w:pPr>
    </w:p>
    <w:p>
      <w:pPr>
        <w:pStyle w:val="6"/>
      </w:pPr>
      <w:r>
        <w:rPr>
          <w:rFonts w:hint="eastAsia"/>
        </w:rPr>
        <w:t>指数化的票面利率</w:t>
      </w:r>
    </w:p>
    <w:p>
      <w:pPr>
        <w:jc w:val="center"/>
        <w:rPr>
          <w:b/>
          <w:szCs w:val="21"/>
        </w:rPr>
      </w:pPr>
      <w:r>
        <w:rPr>
          <w:b/>
          <w:position w:val="-12"/>
          <w:szCs w:val="21"/>
        </w:rPr>
        <w:object>
          <v:shape id="_x0000_i1096" o:spt="75" type="#_x0000_t75" style="height:18.9pt;width:76.6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3" ShapeID="_x0000_i1096" DrawAspect="Content" ObjectID="_1468075796" r:id="rId144">
            <o:LockedField>false</o:LockedField>
          </o:OLEObject>
        </w:object>
      </w:r>
    </w:p>
    <w:p>
      <w:pPr>
        <w:jc w:val="center"/>
        <w:rPr>
          <w:b/>
          <w:szCs w:val="21"/>
        </w:rPr>
      </w:pPr>
      <w:r>
        <w:rPr>
          <w:b/>
          <w:position w:val="-12"/>
          <w:szCs w:val="21"/>
        </w:rPr>
        <w:object>
          <v:shape id="_x0000_i1097" o:spt="75" type="#_x0000_t75" style="height:18.9pt;width:75.5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3" ShapeID="_x0000_i1097" DrawAspect="Content" ObjectID="_1468075797" r:id="rId146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ICR</w:t>
      </w:r>
      <w:r>
        <w:rPr>
          <w:rFonts w:hint="eastAsia"/>
          <w:szCs w:val="21"/>
          <w:vertAlign w:val="subscript"/>
        </w:rPr>
        <w:t xml:space="preserve">t  </w:t>
      </w:r>
      <w:r>
        <w:rPr>
          <w:rFonts w:hint="eastAsia" w:ascii="宋体" w:hAnsi="宋体"/>
        </w:rPr>
        <w:t>按时刻t的通货膨胀率指数化的票面利率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CR  </w:t>
      </w:r>
      <w:r>
        <w:rPr>
          <w:szCs w:val="21"/>
        </w:rPr>
        <w:tab/>
      </w:r>
      <w:r>
        <w:rPr>
          <w:rFonts w:hint="eastAsia"/>
          <w:szCs w:val="21"/>
        </w:rPr>
        <w:t>债券实际票面利率</w:t>
      </w:r>
    </w:p>
    <w:p>
      <w:pPr>
        <w:ind w:firstLine="420"/>
        <w:rPr>
          <w:szCs w:val="21"/>
        </w:rPr>
      </w:pPr>
      <w:r>
        <w:rPr>
          <w:b/>
          <w:position w:val="-12"/>
          <w:szCs w:val="21"/>
        </w:rPr>
        <w:object>
          <v:shape id="_x0000_i1098" o:spt="75" type="#_x0000_t75" style="height:18.9pt;width:14.3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3" ShapeID="_x0000_i1098" DrawAspect="Content" ObjectID="_1468075798" r:id="rId148">
            <o:LockedField>false</o:LockedField>
          </o:OLEObject>
        </w:object>
      </w:r>
      <w:r>
        <w:rPr>
          <w:rFonts w:hint="eastAsia"/>
          <w:b/>
          <w:position w:val="-12"/>
          <w:szCs w:val="21"/>
        </w:rPr>
        <w:t xml:space="preserve">  </w:t>
      </w:r>
      <w:r>
        <w:rPr>
          <w:b/>
          <w:position w:val="-12"/>
          <w:szCs w:val="21"/>
        </w:rPr>
        <w:tab/>
      </w:r>
      <w:r>
        <w:rPr>
          <w:rFonts w:hint="eastAsia" w:ascii="宋体" w:hAnsi="宋体"/>
        </w:rPr>
        <w:t>在时刻t的通货膨胀率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CF</w:t>
      </w:r>
      <w:r>
        <w:rPr>
          <w:rFonts w:hint="eastAsia"/>
          <w:szCs w:val="21"/>
          <w:vertAlign w:val="subscript"/>
        </w:rPr>
        <w:t xml:space="preserve">t  </w:t>
      </w:r>
      <w:r>
        <w:rPr>
          <w:szCs w:val="21"/>
          <w:vertAlign w:val="subscript"/>
        </w:rPr>
        <w:tab/>
      </w:r>
      <w:r>
        <w:rPr>
          <w:rFonts w:hint="eastAsia" w:ascii="宋体" w:hAnsi="宋体"/>
        </w:rPr>
        <w:t>在时刻t的现金流量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N  </w:t>
      </w:r>
      <w:r>
        <w:rPr>
          <w:szCs w:val="21"/>
        </w:rPr>
        <w:tab/>
      </w:r>
      <w:r>
        <w:rPr>
          <w:rFonts w:hint="eastAsia"/>
          <w:szCs w:val="21"/>
        </w:rPr>
        <w:t>本金面值</w:t>
      </w:r>
    </w:p>
    <w:p>
      <w:pPr>
        <w:rPr>
          <w:b/>
          <w:szCs w:val="21"/>
        </w:rPr>
      </w:pPr>
    </w:p>
    <w:p>
      <w:pPr>
        <w:pStyle w:val="6"/>
      </w:pPr>
      <w:r>
        <w:rPr>
          <w:rFonts w:hint="eastAsia"/>
        </w:rPr>
        <w:t>通货紧缩底限</w:t>
      </w:r>
    </w:p>
    <w:p>
      <w:pPr>
        <w:jc w:val="center"/>
        <w:rPr>
          <w:b/>
          <w:position w:val="-10"/>
          <w:szCs w:val="21"/>
        </w:rPr>
      </w:pPr>
      <w:r>
        <w:rPr>
          <w:b/>
          <w:position w:val="-10"/>
          <w:szCs w:val="21"/>
        </w:rPr>
        <w:object>
          <v:shape id="_x0000_i1099" o:spt="75" type="#_x0000_t75" style="height:16.35pt;width:145.5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3" ShapeID="_x0000_i1099" DrawAspect="Content" ObjectID="_1468075799" r:id="rId149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  <w:rPr>
          <w:rFonts w:ascii="宋体" w:hAnsi="宋体"/>
        </w:rPr>
      </w:pPr>
      <w:r>
        <w:rPr>
          <w:rFonts w:hint="eastAsia"/>
          <w:szCs w:val="21"/>
        </w:rPr>
        <w:t>CF</w:t>
      </w:r>
      <w:r>
        <w:rPr>
          <w:szCs w:val="21"/>
          <w:vertAlign w:val="subscript"/>
        </w:rPr>
        <w:t>T</w:t>
      </w:r>
      <w:r>
        <w:rPr>
          <w:rFonts w:hint="eastAsia"/>
          <w:szCs w:val="21"/>
          <w:vertAlign w:val="subscript"/>
        </w:rPr>
        <w:t xml:space="preserve">  </w:t>
      </w:r>
      <w:r>
        <w:rPr>
          <w:szCs w:val="21"/>
          <w:vertAlign w:val="subscript"/>
        </w:rPr>
        <w:tab/>
      </w:r>
      <w:r>
        <w:rPr>
          <w:rFonts w:hint="eastAsia" w:ascii="宋体" w:hAnsi="宋体"/>
        </w:rPr>
        <w:t>在时刻</w:t>
      </w:r>
      <w:r>
        <w:rPr>
          <w:rFonts w:ascii="宋体" w:hAnsi="宋体"/>
        </w:rPr>
        <w:t>T</w:t>
      </w:r>
      <w:r>
        <w:rPr>
          <w:rFonts w:hint="eastAsia" w:ascii="宋体" w:hAnsi="宋体"/>
        </w:rPr>
        <w:t>的现金流量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CR  </w:t>
      </w:r>
      <w:r>
        <w:rPr>
          <w:szCs w:val="21"/>
        </w:rPr>
        <w:tab/>
      </w:r>
      <w:r>
        <w:rPr>
          <w:rFonts w:hint="eastAsia"/>
          <w:szCs w:val="21"/>
        </w:rPr>
        <w:t>债券实际票面利率</w:t>
      </w:r>
    </w:p>
    <w:p>
      <w:pPr>
        <w:ind w:firstLine="422" w:firstLineChars="200"/>
        <w:rPr>
          <w:szCs w:val="21"/>
        </w:rPr>
      </w:pPr>
      <w:r>
        <w:rPr>
          <w:rFonts w:hint="eastAsia"/>
          <w:b/>
          <w:position w:val="-12"/>
          <w:szCs w:val="21"/>
        </w:rPr>
        <w:t>N</w:t>
      </w:r>
      <w:r>
        <w:rPr>
          <w:rFonts w:hint="eastAsia"/>
          <w:b/>
          <w:position w:val="-12"/>
          <w:szCs w:val="21"/>
          <w:vertAlign w:val="subscript"/>
        </w:rPr>
        <w:t>T</w:t>
      </w:r>
      <w:r>
        <w:rPr>
          <w:b/>
          <w:position w:val="-12"/>
          <w:szCs w:val="21"/>
        </w:rPr>
        <w:tab/>
      </w:r>
      <w:r>
        <w:rPr>
          <w:rFonts w:hint="eastAsia" w:ascii="宋体" w:hAnsi="宋体"/>
        </w:rPr>
        <w:t>按时刻T的通货膨胀率指数化的本金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N  </w:t>
      </w:r>
      <w:r>
        <w:rPr>
          <w:szCs w:val="21"/>
        </w:rPr>
        <w:tab/>
      </w:r>
      <w:r>
        <w:rPr>
          <w:rFonts w:hint="eastAsia"/>
          <w:szCs w:val="21"/>
        </w:rPr>
        <w:t>本金面值</w:t>
      </w:r>
    </w:p>
    <w:p>
      <w:pPr>
        <w:jc w:val="center"/>
        <w:rPr>
          <w:b/>
          <w:szCs w:val="21"/>
        </w:rPr>
      </w:pPr>
    </w:p>
    <w:p>
      <w:pPr>
        <w:pStyle w:val="3"/>
        <w:rPr>
          <w:lang w:eastAsia="zh-CN"/>
        </w:rPr>
      </w:pPr>
      <w:bookmarkStart w:id="20" w:name="_Toc28122"/>
      <w:r>
        <w:rPr>
          <w:lang w:eastAsia="zh-CN"/>
        </w:rPr>
        <w:t>3</w:t>
      </w:r>
      <w:r>
        <w:rPr>
          <w:rFonts w:hint="eastAsia"/>
          <w:lang w:eastAsia="zh-CN"/>
        </w:rPr>
        <w:t>固定收益证券组合管理策略</w:t>
      </w:r>
      <w:bookmarkEnd w:id="20"/>
    </w:p>
    <w:p>
      <w:pPr>
        <w:pStyle w:val="4"/>
      </w:pPr>
      <w:bookmarkStart w:id="21" w:name="_Toc11859"/>
      <w:r>
        <w:rPr>
          <w:rFonts w:hint="eastAsia"/>
        </w:rPr>
        <w:t>3.1 消极管理</w:t>
      </w:r>
      <w:bookmarkEnd w:id="21"/>
    </w:p>
    <w:p>
      <w:pPr>
        <w:pStyle w:val="6"/>
      </w:pPr>
      <w:r>
        <w:rPr>
          <w:rFonts w:hint="eastAsia"/>
        </w:rPr>
        <w:t>免疫策略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A = L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  <w:vertAlign w:val="subscript"/>
        </w:rPr>
        <w:t xml:space="preserve">A </w:t>
      </w:r>
      <w:r>
        <w:rPr>
          <w:rFonts w:hint="eastAsia"/>
          <w:szCs w:val="21"/>
        </w:rPr>
        <w:t>= D</w:t>
      </w:r>
      <w:r>
        <w:rPr>
          <w:rFonts w:hint="eastAsia"/>
          <w:szCs w:val="21"/>
          <w:vertAlign w:val="subscript"/>
        </w:rPr>
        <w:t>L</w:t>
      </w:r>
    </w:p>
    <w:p>
      <w:pPr>
        <w:jc w:val="center"/>
        <w:rPr>
          <w:szCs w:val="21"/>
          <w:vertAlign w:val="subscript"/>
        </w:rPr>
      </w:pPr>
      <w:r>
        <w:rPr>
          <w:rFonts w:hint="eastAsia"/>
          <w:szCs w:val="21"/>
        </w:rPr>
        <w:t>A×D</w:t>
      </w:r>
      <w:r>
        <w:rPr>
          <w:rFonts w:hint="eastAsia"/>
          <w:szCs w:val="21"/>
          <w:vertAlign w:val="subscript"/>
        </w:rPr>
        <w:t>A</w:t>
      </w:r>
      <w:r>
        <w:rPr>
          <w:rFonts w:hint="eastAsia"/>
          <w:szCs w:val="21"/>
        </w:rPr>
        <w:t xml:space="preserve"> = L×D</w:t>
      </w:r>
      <w:r>
        <w:rPr>
          <w:rFonts w:hint="eastAsia"/>
          <w:szCs w:val="21"/>
          <w:vertAlign w:val="subscript"/>
        </w:rPr>
        <w:t>L</w: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A      投资组合的现值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L      债务的现值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  <w:vertAlign w:val="subscript"/>
        </w:rPr>
        <w:t xml:space="preserve">A        </w:t>
      </w:r>
      <w:r>
        <w:rPr>
          <w:rFonts w:hint="eastAsia"/>
          <w:szCs w:val="21"/>
        </w:rPr>
        <w:t>投资组合的久期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  <w:vertAlign w:val="subscript"/>
        </w:rPr>
        <w:t xml:space="preserve">L        </w:t>
      </w:r>
      <w:r>
        <w:rPr>
          <w:rFonts w:hint="eastAsia"/>
          <w:szCs w:val="21"/>
        </w:rPr>
        <w:t>债务的久期</w:t>
      </w:r>
    </w:p>
    <w:p>
      <w:pPr>
        <w:pStyle w:val="6"/>
      </w:pPr>
    </w:p>
    <w:p>
      <w:pPr>
        <w:pStyle w:val="6"/>
      </w:pPr>
      <w:r>
        <w:rPr>
          <w:rFonts w:hint="eastAsia"/>
        </w:rPr>
        <w:t>现金流相对其久期的离散程度（D</w:t>
      </w:r>
      <w:r>
        <w:t>S</w:t>
      </w:r>
      <w:r>
        <w:rPr>
          <w:vertAlign w:val="subscript"/>
        </w:rPr>
        <w:t>A</w:t>
      </w:r>
      <w:r>
        <w:rPr>
          <w:rFonts w:hint="eastAsia"/>
        </w:rPr>
        <w:t>）</w:t>
      </w:r>
    </w:p>
    <w:p>
      <w:pPr>
        <w:jc w:val="center"/>
      </w:pPr>
      <w:r>
        <w:rPr>
          <w:position w:val="-60"/>
        </w:rPr>
        <w:object>
          <v:shape id="_x0000_i1100" o:spt="75" type="#_x0000_t75" style="height:65.85pt;width:117.9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1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  <w:vertAlign w:val="subscript"/>
        </w:rPr>
        <w:t>i</w:t>
      </w:r>
      <w:r>
        <w:rPr>
          <w:rFonts w:hint="eastAsia"/>
          <w:szCs w:val="21"/>
          <w:vertAlign w:val="superscript"/>
        </w:rPr>
        <w:t xml:space="preserve">A  </w:t>
      </w:r>
      <w:r>
        <w:rPr>
          <w:szCs w:val="21"/>
          <w:vertAlign w:val="superscript"/>
        </w:rPr>
        <w:tab/>
      </w:r>
      <w:r>
        <w:rPr>
          <w:szCs w:val="21"/>
          <w:vertAlign w:val="superscript"/>
        </w:rPr>
        <w:tab/>
      </w:r>
      <w:r>
        <w:rPr>
          <w:rFonts w:hint="eastAsia"/>
          <w:szCs w:val="21"/>
        </w:rPr>
        <w:t>投资组合A中第i项现金流的期限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  <w:vertAlign w:val="subscript"/>
        </w:rPr>
        <w:t xml:space="preserve">A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投资组合A的久期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  <w:vertAlign w:val="subscript"/>
        </w:rPr>
        <w:t xml:space="preserve">i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投资组合A中第i项现金流的现值</w:t>
      </w:r>
    </w:p>
    <w:p>
      <w:pPr>
        <w:ind w:firstLine="420"/>
      </w:pPr>
      <w:r>
        <w:rPr>
          <w:rFonts w:hint="eastAsia"/>
        </w:rPr>
        <w:t>n</w:t>
      </w:r>
      <w:r>
        <w:tab/>
      </w:r>
      <w:r>
        <w:tab/>
      </w:r>
      <w:r>
        <w:rPr>
          <w:rFonts w:hint="eastAsia"/>
        </w:rPr>
        <w:t>投资组合A的现金流数量</w:t>
      </w:r>
    </w:p>
    <w:p>
      <w:pPr>
        <w:ind w:firstLine="420"/>
      </w:pPr>
    </w:p>
    <w:p>
      <w:pPr>
        <w:pStyle w:val="4"/>
        <w:rPr>
          <w:lang w:eastAsia="zh-CN"/>
        </w:rPr>
      </w:pPr>
      <w:bookmarkStart w:id="22" w:name="_Toc17282"/>
      <w:r>
        <w:rPr>
          <w:rFonts w:hint="eastAsia"/>
          <w:lang w:eastAsia="zh-CN"/>
        </w:rPr>
        <w:t>3.2计算套期保值比率：修正久期法</w:t>
      </w:r>
      <w:bookmarkEnd w:id="22"/>
    </w:p>
    <w:p>
      <w:pPr>
        <w:jc w:val="center"/>
        <w:rPr>
          <w:szCs w:val="21"/>
        </w:rPr>
      </w:pPr>
      <w:r>
        <w:rPr>
          <w:i/>
          <w:iCs/>
          <w:position w:val="-32"/>
        </w:rPr>
        <w:object>
          <v:shape id="_x0000_i1101" o:spt="75" type="#_x0000_t75" style="height:36.75pt;width:153.2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3" ShapeID="_x0000_i1101" DrawAspect="Content" ObjectID="_1468075801" r:id="rId153">
            <o:LockedField>false</o:LockedField>
          </o:OLEObject>
        </w:object>
      </w:r>
    </w:p>
    <w:p>
      <w:pPr>
        <w:jc w:val="center"/>
        <w:rPr>
          <w:szCs w:val="21"/>
        </w:rPr>
      </w:pPr>
      <w:r>
        <w:rPr>
          <w:position w:val="-32"/>
        </w:rPr>
        <w:object>
          <v:shape id="_x0000_i1102" o:spt="75" type="#_x0000_t75" style="height:36.75pt;width:240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3" ShapeID="_x0000_i1102" DrawAspect="Content" ObjectID="_1468075802" r:id="rId155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HR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套期保值比率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S</w:t>
      </w:r>
      <w:r>
        <w:rPr>
          <w:rFonts w:hint="eastAsia"/>
          <w:szCs w:val="21"/>
          <w:vertAlign w:val="subscript"/>
        </w:rPr>
        <w:t xml:space="preserve">t 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t时刻的现货价格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 xml:space="preserve">t,T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t 时刻，到期日是T的期货价格</w:t>
      </w:r>
    </w:p>
    <w:p>
      <w:pPr>
        <w:ind w:firstLine="435"/>
        <w:rPr>
          <w:szCs w:val="21"/>
        </w:rPr>
      </w:pPr>
      <w:r>
        <w:rPr>
          <w:szCs w:val="21"/>
        </w:rPr>
        <w:t>ρ</w:t>
      </w:r>
      <w:r>
        <w:rPr>
          <w:szCs w:val="21"/>
          <w:vertAlign w:val="subscript"/>
        </w:rPr>
        <w:t>Δ</w:t>
      </w:r>
      <w:r>
        <w:rPr>
          <w:rFonts w:hint="eastAsia"/>
          <w:szCs w:val="21"/>
          <w:vertAlign w:val="subscript"/>
        </w:rPr>
        <w:t>S，</w:t>
      </w:r>
      <w:r>
        <w:rPr>
          <w:szCs w:val="21"/>
          <w:vertAlign w:val="subscript"/>
        </w:rPr>
        <w:t>Δ</w:t>
      </w:r>
      <w:r>
        <w:rPr>
          <w:rFonts w:hint="eastAsia"/>
          <w:szCs w:val="21"/>
          <w:vertAlign w:val="subscript"/>
        </w:rPr>
        <w:t xml:space="preserve">F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</w:rPr>
        <w:t>Δ</w:t>
      </w:r>
      <w:r>
        <w:rPr>
          <w:rFonts w:hint="eastAsia"/>
          <w:szCs w:val="21"/>
        </w:rPr>
        <w:t>S和</w:t>
      </w:r>
      <w:r>
        <w:rPr>
          <w:szCs w:val="21"/>
        </w:rPr>
        <w:t>Δ</w:t>
      </w:r>
      <w:r>
        <w:rPr>
          <w:rFonts w:hint="eastAsia"/>
          <w:szCs w:val="21"/>
        </w:rPr>
        <w:t>F之间的相关系数</w:t>
      </w:r>
    </w:p>
    <w:p>
      <w:pPr>
        <w:ind w:firstLine="435"/>
        <w:rPr>
          <w:szCs w:val="21"/>
        </w:rPr>
      </w:pPr>
      <w:r>
        <w:rPr>
          <w:szCs w:val="21"/>
        </w:rPr>
        <w:t>σ</w:t>
      </w:r>
      <w:r>
        <w:rPr>
          <w:szCs w:val="21"/>
          <w:vertAlign w:val="subscript"/>
        </w:rPr>
        <w:t>Δ</w:t>
      </w:r>
      <w:r>
        <w:rPr>
          <w:rFonts w:hint="eastAsia"/>
          <w:szCs w:val="21"/>
          <w:vertAlign w:val="subscript"/>
        </w:rPr>
        <w:t xml:space="preserve">S  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</w:rPr>
        <w:t>Δ</w:t>
      </w:r>
      <w:r>
        <w:rPr>
          <w:rFonts w:hint="eastAsia"/>
          <w:szCs w:val="21"/>
        </w:rPr>
        <w:t>S的标准差</w:t>
      </w:r>
    </w:p>
    <w:p>
      <w:pPr>
        <w:ind w:firstLine="435"/>
        <w:rPr>
          <w:szCs w:val="21"/>
        </w:rPr>
      </w:pPr>
      <w:r>
        <w:rPr>
          <w:szCs w:val="21"/>
        </w:rPr>
        <w:t>σ</w:t>
      </w:r>
      <w:r>
        <w:rPr>
          <w:szCs w:val="21"/>
          <w:vertAlign w:val="subscript"/>
        </w:rPr>
        <w:t>Δ</w:t>
      </w:r>
      <w:r>
        <w:rPr>
          <w:rFonts w:hint="eastAsia"/>
          <w:szCs w:val="21"/>
          <w:vertAlign w:val="subscript"/>
        </w:rPr>
        <w:t xml:space="preserve">F，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</w:rPr>
        <w:t>Δ</w:t>
      </w:r>
      <w:r>
        <w:rPr>
          <w:rFonts w:hint="eastAsia"/>
          <w:szCs w:val="21"/>
        </w:rPr>
        <w:t>F的标准差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CTD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最便宜可交割</w:t>
      </w:r>
    </w:p>
    <w:p>
      <w:pPr>
        <w:ind w:firstLine="435"/>
        <w:rPr>
          <w:szCs w:val="21"/>
        </w:rPr>
      </w:pPr>
      <w:r>
        <w:rPr>
          <w:i/>
          <w:iCs/>
          <w:position w:val="-10"/>
          <w:sz w:val="22"/>
        </w:rPr>
        <w:object>
          <v:shape id="_x0000_i1103" o:spt="75" type="#_x0000_t75" style="height:18.9pt;width:28.6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3" ShapeID="_x0000_i1103" DrawAspect="Content" ObjectID="_1468075803" r:id="rId157">
            <o:LockedField>false</o:LockedField>
          </o:OLEObject>
        </w:object>
      </w:r>
      <w:r>
        <w:rPr>
          <w:rFonts w:hint="eastAsia"/>
          <w:i/>
          <w:iCs/>
          <w:position w:val="-10"/>
          <w:sz w:val="22"/>
        </w:rPr>
        <w:t xml:space="preserve">  </w:t>
      </w:r>
      <w:r>
        <w:rPr>
          <w:i/>
          <w:iCs/>
          <w:position w:val="-10"/>
          <w:sz w:val="22"/>
        </w:rPr>
        <w:tab/>
      </w:r>
      <w:r>
        <w:rPr>
          <w:i/>
          <w:iCs/>
          <w:position w:val="-10"/>
          <w:sz w:val="22"/>
        </w:rPr>
        <w:tab/>
      </w:r>
      <w:r>
        <w:rPr>
          <w:rFonts w:hint="eastAsia"/>
          <w:szCs w:val="21"/>
        </w:rPr>
        <w:t>被套期保值目标资产的修正久期</w:t>
      </w:r>
    </w:p>
    <w:p>
      <w:pPr>
        <w:ind w:firstLine="435"/>
        <w:rPr>
          <w:szCs w:val="21"/>
        </w:rPr>
      </w:pPr>
      <w:r>
        <w:rPr>
          <w:i/>
          <w:iCs/>
          <w:position w:val="-10"/>
          <w:sz w:val="22"/>
        </w:rPr>
        <w:object>
          <v:shape id="_x0000_i1104" o:spt="75" type="#_x0000_t75" style="height:18.9pt;width:28.6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3" ShapeID="_x0000_i1104" DrawAspect="Content" ObjectID="_1468075804" r:id="rId159">
            <o:LockedField>false</o:LockedField>
          </o:OLEObject>
        </w:object>
      </w:r>
      <w:r>
        <w:rPr>
          <w:rFonts w:hint="eastAsia"/>
          <w:i/>
          <w:iCs/>
          <w:position w:val="-10"/>
          <w:sz w:val="22"/>
        </w:rPr>
        <w:t xml:space="preserve">  </w:t>
      </w:r>
      <w:r>
        <w:rPr>
          <w:i/>
          <w:iCs/>
          <w:position w:val="-10"/>
          <w:sz w:val="22"/>
        </w:rPr>
        <w:tab/>
      </w:r>
      <w:r>
        <w:rPr>
          <w:i/>
          <w:iCs/>
          <w:position w:val="-10"/>
          <w:sz w:val="22"/>
        </w:rPr>
        <w:tab/>
      </w:r>
      <w:r>
        <w:rPr>
          <w:rFonts w:hint="eastAsia"/>
          <w:szCs w:val="21"/>
        </w:rPr>
        <w:t>期货的修正久期（最便宜可交割的）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N</w:t>
      </w:r>
      <w:r>
        <w:rPr>
          <w:rFonts w:hint="eastAsia"/>
          <w:szCs w:val="21"/>
          <w:vertAlign w:val="subscript"/>
        </w:rPr>
        <w:t xml:space="preserve">F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期货合约的数量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N</w:t>
      </w:r>
      <w:r>
        <w:rPr>
          <w:rFonts w:hint="eastAsia"/>
          <w:szCs w:val="21"/>
          <w:vertAlign w:val="subscript"/>
        </w:rPr>
        <w:t xml:space="preserve">S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被套期保值目标资产的数目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k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合约规模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S</w:t>
      </w:r>
      <w:r>
        <w:rPr>
          <w:rFonts w:hint="eastAsia"/>
          <w:szCs w:val="21"/>
          <w:vertAlign w:val="subscript"/>
        </w:rPr>
        <w:t xml:space="preserve">CTD, t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最便宜可交割债券的现价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CF</w:t>
      </w:r>
      <w:r>
        <w:rPr>
          <w:rFonts w:hint="eastAsia"/>
          <w:szCs w:val="21"/>
          <w:vertAlign w:val="subscript"/>
        </w:rPr>
        <w:t xml:space="preserve">CTD, t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最便宜可交割债券的转换因子</w:t>
      </w:r>
    </w:p>
    <w:p>
      <w:pPr>
        <w:rPr>
          <w:szCs w:val="21"/>
        </w:rPr>
      </w:pPr>
    </w:p>
    <w:p>
      <w:pPr>
        <w:pStyle w:val="2"/>
      </w:pPr>
      <w:r>
        <w:br w:type="page"/>
      </w:r>
      <w:bookmarkStart w:id="23" w:name="_Toc19987"/>
      <w:r>
        <w:rPr>
          <w:rFonts w:hint="eastAsia"/>
        </w:rPr>
        <w:t>衍生产品估值和分析</w:t>
      </w:r>
      <w:bookmarkEnd w:id="23"/>
    </w:p>
    <w:p>
      <w:pPr>
        <w:pStyle w:val="3"/>
        <w:rPr>
          <w:lang w:eastAsia="zh-CN"/>
        </w:rPr>
      </w:pPr>
      <w:bookmarkStart w:id="24" w:name="_Toc9776"/>
      <w:r>
        <w:rPr>
          <w:lang w:eastAsia="zh-CN"/>
        </w:rPr>
        <w:t>1</w:t>
      </w:r>
      <w:r>
        <w:rPr>
          <w:rFonts w:hint="eastAsia"/>
          <w:lang w:eastAsia="zh-CN"/>
        </w:rPr>
        <w:t>金融市场和工具</w:t>
      </w:r>
      <w:bookmarkEnd w:id="24"/>
    </w:p>
    <w:p>
      <w:pPr>
        <w:pStyle w:val="4"/>
        <w:rPr>
          <w:lang w:eastAsia="zh-CN"/>
        </w:rPr>
      </w:pPr>
      <w:bookmarkStart w:id="25" w:name="_Toc29655"/>
      <w:r>
        <w:rPr>
          <w:lang w:eastAsia="zh-CN"/>
        </w:rPr>
        <w:t>1.1</w:t>
      </w:r>
      <w:r>
        <w:rPr>
          <w:rFonts w:hint="eastAsia"/>
          <w:lang w:eastAsia="zh-CN"/>
        </w:rPr>
        <w:t>互换</w:t>
      </w:r>
      <w:bookmarkEnd w:id="25"/>
    </w:p>
    <w:p>
      <w:pPr>
        <w:pStyle w:val="6"/>
      </w:pPr>
      <w:r>
        <w:rPr>
          <w:rFonts w:hint="eastAsia"/>
        </w:rPr>
        <w:t>利率互换</w:t>
      </w:r>
    </w:p>
    <w:p>
      <w:pPr>
        <w:rPr>
          <w:szCs w:val="21"/>
        </w:rPr>
      </w:pPr>
      <w:r>
        <w:rPr>
          <w:rFonts w:hint="eastAsia"/>
          <w:szCs w:val="21"/>
        </w:rPr>
        <w:t>接受固定收益的交易方的互换价值可以被表示为</w:t>
      </w:r>
    </w:p>
    <w:p>
      <w:pPr>
        <w:jc w:val="center"/>
        <w:rPr>
          <w:szCs w:val="21"/>
          <w:vertAlign w:val="subscript"/>
        </w:rPr>
      </w:pPr>
      <w:r>
        <w:rPr>
          <w:szCs w:val="21"/>
        </w:rPr>
        <w:t>V = B</w:t>
      </w:r>
      <w:r>
        <w:rPr>
          <w:szCs w:val="21"/>
          <w:vertAlign w:val="subscript"/>
        </w:rPr>
        <w:t xml:space="preserve">1 </w:t>
      </w:r>
      <w:r>
        <w:rPr>
          <w:szCs w:val="21"/>
        </w:rPr>
        <w:t>— B</w:t>
      </w:r>
      <w:r>
        <w:rPr>
          <w:szCs w:val="21"/>
          <w:vertAlign w:val="subscript"/>
        </w:rPr>
        <w:t>2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此处</w:t>
      </w:r>
    </w:p>
    <w:p>
      <w:pPr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V    </w:t>
      </w:r>
      <w:r>
        <w:rPr>
          <w:rFonts w:ascii="宋体" w:hAnsi="宋体"/>
          <w:szCs w:val="21"/>
        </w:rPr>
        <w:tab/>
      </w:r>
      <w:r>
        <w:rPr>
          <w:rFonts w:hint="eastAsia" w:ascii="宋体" w:hAnsi="宋体"/>
          <w:szCs w:val="21"/>
        </w:rPr>
        <w:t>互换的价值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  <w:vertAlign w:val="subscript"/>
        </w:rPr>
        <w:t xml:space="preserve">1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互换中的固定收益债券的价值</w:t>
      </w:r>
    </w:p>
    <w:p>
      <w:pPr>
        <w:ind w:firstLine="420"/>
        <w:rPr>
          <w:szCs w:val="21"/>
        </w:rPr>
      </w:pPr>
      <w:r>
        <w:rPr>
          <w:szCs w:val="21"/>
        </w:rPr>
        <w:t>B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  <w:vertAlign w:val="subscript"/>
        </w:rPr>
        <w:t xml:space="preserve">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互换中的浮动收益债券的价值</w:t>
      </w:r>
    </w:p>
    <w:p>
      <w:pPr>
        <w:ind w:firstLine="420"/>
        <w:rPr>
          <w:szCs w:val="21"/>
        </w:rPr>
      </w:pPr>
    </w:p>
    <w:p>
      <w:r>
        <w:rPr>
          <w:rFonts w:hint="eastAsia"/>
        </w:rPr>
        <w:t>B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是固定利率债券现金流的现值</w:t>
      </w:r>
    </w:p>
    <w:p>
      <w:pPr>
        <w:jc w:val="center"/>
        <w:rPr>
          <w:szCs w:val="21"/>
        </w:rPr>
      </w:pPr>
      <w:r>
        <w:rPr>
          <w:position w:val="-32"/>
          <w:sz w:val="20"/>
        </w:rPr>
        <w:object>
          <v:shape id="_x0000_i1105" o:spt="75" type="#_x0000_t75" style="height:36.25pt;width:144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1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  <w:vertAlign w:val="subscript"/>
        </w:rPr>
        <w:t xml:space="preserve">1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互换中固定利率债券的价值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K   </w:t>
      </w:r>
      <w:r>
        <w:rPr>
          <w:szCs w:val="21"/>
        </w:rPr>
        <w:tab/>
      </w:r>
      <w:r>
        <w:rPr>
          <w:rFonts w:hint="eastAsia"/>
          <w:szCs w:val="21"/>
        </w:rPr>
        <w:t>在t</w:t>
      </w:r>
      <w:r>
        <w:rPr>
          <w:rFonts w:hint="eastAsia"/>
          <w:szCs w:val="21"/>
          <w:vertAlign w:val="subscript"/>
        </w:rPr>
        <w:t>i</w:t>
      </w:r>
      <w:r>
        <w:rPr>
          <w:rFonts w:hint="eastAsia"/>
          <w:szCs w:val="21"/>
        </w:rPr>
        <w:t>时刻要支付的固定利率现金流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Q   </w:t>
      </w:r>
      <w:r>
        <w:rPr>
          <w:szCs w:val="21"/>
        </w:rPr>
        <w:tab/>
      </w:r>
      <w:r>
        <w:rPr>
          <w:rFonts w:hint="eastAsia"/>
          <w:szCs w:val="21"/>
        </w:rPr>
        <w:t>互换协议中的名义本金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>0,</w:t>
      </w:r>
      <w:r>
        <w:rPr>
          <w:position w:val="-6"/>
          <w:szCs w:val="21"/>
          <w:vertAlign w:val="subscript"/>
        </w:rPr>
        <w:object>
          <v:shape id="_x0000_i1106" o:spt="75" type="#_x0000_t75" style="height:13.3pt;width:9.2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3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 </w:t>
      </w:r>
      <w:r>
        <w:rPr>
          <w:position w:val="-10"/>
          <w:szCs w:val="21"/>
          <w:vertAlign w:val="subscript"/>
        </w:rPr>
        <w:tab/>
      </w:r>
      <w:r>
        <w:rPr>
          <w:rFonts w:hint="eastAsia"/>
          <w:szCs w:val="21"/>
        </w:rPr>
        <w:t>在到期日</w:t>
      </w:r>
      <w:r>
        <w:rPr>
          <w:position w:val="-6"/>
        </w:rPr>
        <w:object>
          <v:shape id="_x0000_i1107" o:spt="75" type="#_x0000_t75" style="height:13.3pt;width:9.2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5">
            <o:LockedField>false</o:LockedField>
          </o:OLEObject>
        </w:object>
      </w:r>
      <w:r>
        <w:rPr>
          <w:rFonts w:hint="eastAsia"/>
          <w:szCs w:val="21"/>
        </w:rPr>
        <w:t>时的即期利率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n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债券到期时间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当加入互换，并且立即在一个票面利率重置日之后，债券</w:t>
      </w:r>
      <w:r>
        <w:rPr>
          <w:szCs w:val="21"/>
        </w:rPr>
        <w:t>B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的价值等于名义本金数Q。在重置日之间，价值是</w:t>
      </w:r>
    </w:p>
    <w:p>
      <w:pPr>
        <w:jc w:val="center"/>
        <w:rPr>
          <w:szCs w:val="21"/>
        </w:rPr>
      </w:pPr>
      <w:r>
        <w:rPr>
          <w:position w:val="-32"/>
          <w:sz w:val="20"/>
        </w:rPr>
        <w:object>
          <v:shape id="_x0000_i1108" o:spt="75" type="#_x0000_t75" style="height:38.3pt;width:128.15pt;" o:ole="t" filled="t" o:preferrelative="t" stroked="f" coordsize="21600,21600">
            <v:path/>
            <v:fill on="t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7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  <w:vertAlign w:val="subscript"/>
        </w:rPr>
        <w:t xml:space="preserve">2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互换中浮动利率债券的价值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K</w:t>
      </w:r>
      <w:r>
        <w:rPr>
          <w:rFonts w:hint="eastAsia"/>
          <w:szCs w:val="21"/>
          <w:vertAlign w:val="superscript"/>
        </w:rPr>
        <w:t xml:space="preserve">*    </w:t>
      </w:r>
      <w:r>
        <w:rPr>
          <w:szCs w:val="21"/>
          <w:vertAlign w:val="superscript"/>
        </w:rPr>
        <w:tab/>
      </w:r>
      <w:r>
        <w:rPr>
          <w:rFonts w:hint="eastAsia"/>
          <w:szCs w:val="21"/>
        </w:rPr>
        <w:t>在下一个票面利率重置日t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，用于支付的浮动利率现金流(最初已知)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Q    </w:t>
      </w:r>
      <w:r>
        <w:rPr>
          <w:szCs w:val="21"/>
        </w:rPr>
        <w:tab/>
      </w:r>
      <w:r>
        <w:rPr>
          <w:rFonts w:hint="eastAsia"/>
          <w:szCs w:val="21"/>
        </w:rPr>
        <w:t>互换协议中的名义本金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0, t1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对应于到期日t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的即期利率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交叉货币利率互换</w:t>
      </w:r>
    </w:p>
    <w:p>
      <w:pPr>
        <w:rPr>
          <w:szCs w:val="21"/>
        </w:rPr>
      </w:pPr>
      <w:r>
        <w:rPr>
          <w:rFonts w:hint="eastAsia"/>
          <w:szCs w:val="21"/>
        </w:rPr>
        <w:t>这种互换的价值可表达为</w:t>
      </w:r>
    </w:p>
    <w:p>
      <w:pPr>
        <w:jc w:val="center"/>
        <w:rPr>
          <w:szCs w:val="21"/>
        </w:rPr>
      </w:pPr>
      <w:r>
        <w:rPr>
          <w:position w:val="-10"/>
          <w:szCs w:val="21"/>
        </w:rPr>
        <w:object>
          <v:shape id="_x0000_i1109" o:spt="75" type="#_x0000_t75" style="height:16.35pt;width:77.1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3" ShapeID="_x0000_i1109" DrawAspect="Content" ObjectID="_1468075809" r:id="rId169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S      以每外币为单位的本国货币的现货利率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  <w:vertAlign w:val="subscript"/>
        </w:rPr>
        <w:t xml:space="preserve">F        </w:t>
      </w:r>
      <w:r>
        <w:rPr>
          <w:rFonts w:hint="eastAsia"/>
          <w:szCs w:val="21"/>
        </w:rPr>
        <w:t>以外币计价，互换中的外币债券的价值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  <w:vertAlign w:val="subscript"/>
        </w:rPr>
        <w:t xml:space="preserve">D        </w:t>
      </w:r>
      <w:r>
        <w:rPr>
          <w:rFonts w:hint="eastAsia"/>
          <w:szCs w:val="21"/>
        </w:rPr>
        <w:t>以本币计价，互换中的本币债券的价值</w:t>
      </w:r>
    </w:p>
    <w:p>
      <w:pPr>
        <w:rPr>
          <w:szCs w:val="21"/>
        </w:rPr>
      </w:pPr>
    </w:p>
    <w:p>
      <w:pPr>
        <w:pStyle w:val="4"/>
        <w:rPr>
          <w:lang w:eastAsia="zh-CN"/>
        </w:rPr>
      </w:pPr>
      <w:bookmarkStart w:id="26" w:name="_Toc4249"/>
      <w:r>
        <w:rPr>
          <w:rFonts w:hint="eastAsia"/>
          <w:lang w:eastAsia="zh-CN"/>
        </w:rPr>
        <w:t>1.2 信用违约互换（CDS）</w:t>
      </w:r>
      <w:bookmarkEnd w:id="26"/>
    </w:p>
    <w:p>
      <w:pPr>
        <w:pStyle w:val="6"/>
      </w:pPr>
      <w:r>
        <w:rPr>
          <w:rFonts w:hint="eastAsia"/>
        </w:rPr>
        <w:t>信用违约互换可能的支付</w:t>
      </w:r>
    </w:p>
    <w:p>
      <w:r>
        <w:rPr>
          <w:rFonts w:hint="eastAsia"/>
        </w:rPr>
        <w:t>参考债券发生违约时，CDS的购买者可获得的支付可以如下表达</w:t>
      </w:r>
    </w:p>
    <w:p>
      <w:pPr>
        <w:pStyle w:val="6"/>
        <w:jc w:val="center"/>
      </w:pPr>
      <w:r>
        <w:rPr>
          <w:position w:val="-14"/>
        </w:rPr>
        <w:object>
          <v:shape id="_x0000_i1110" o:spt="75" type="#_x0000_t75" style="height:19.4pt;width:193.55pt;" o:ole="t" filled="t" o:preferrelative="t" stroked="f" coordsize="21600,21600">
            <v:path/>
            <v:fill on="t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1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 N     CDS的名义本金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R     参考债券的回收率</w:t>
      </w:r>
    </w:p>
    <w:p>
      <w:pPr>
        <w:ind w:firstLine="420" w:firstLineChars="200"/>
        <w:rPr>
          <w:szCs w:val="21"/>
        </w:rPr>
      </w:pPr>
    </w:p>
    <w:p>
      <w:pPr>
        <w:spacing w:before="312" w:beforeLines="100"/>
        <w:rPr>
          <w:rFonts w:ascii="Times" w:hAnsi="Times"/>
          <w:b/>
          <w:bCs/>
          <w:iCs/>
          <w:kern w:val="0"/>
          <w:szCs w:val="26"/>
        </w:rPr>
      </w:pPr>
      <w:r>
        <w:rPr>
          <w:rFonts w:hint="eastAsia" w:ascii="Times" w:hAnsi="Times"/>
          <w:b/>
          <w:bCs/>
          <w:iCs/>
          <w:kern w:val="0"/>
          <w:szCs w:val="26"/>
        </w:rPr>
        <w:t>违约概率</w:t>
      </w:r>
    </w:p>
    <w:p>
      <w:r>
        <w:rPr>
          <w:position w:val="-12"/>
        </w:rPr>
        <w:object>
          <v:shape id="_x0000_i1111" o:spt="75" type="#_x0000_t75" style="height:18.9pt;width:16.35pt;" o:ole="t" filled="t" o:preferrelative="t" stroked="f" coordsize="21600,21600">
            <v:path/>
            <v:fill on="t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3" ShapeID="_x0000_i1111" DrawAspect="Content" ObjectID="_1468075811" r:id="rId173">
            <o:LockedField>false</o:LockedField>
          </o:OLEObject>
        </w:object>
      </w:r>
      <w:r>
        <w:rPr>
          <w:rFonts w:hint="eastAsia"/>
        </w:rPr>
        <w:t>期到</w:t>
      </w:r>
      <w:r>
        <w:rPr>
          <w:position w:val="-12"/>
        </w:rPr>
        <w:object>
          <v:shape id="_x0000_i1112" o:spt="75" type="#_x0000_t75" style="height:18.9pt;width:9.2pt;" o:ole="t" filled="t" o:preferrelative="t" stroked="f" coordsize="21600,21600">
            <v:path/>
            <v:fill on="t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3" ShapeID="_x0000_i1112" DrawAspect="Content" ObjectID="_1468075812" r:id="rId175">
            <o:LockedField>false</o:LockedField>
          </o:OLEObject>
        </w:object>
      </w:r>
      <w:r>
        <w:rPr>
          <w:rFonts w:hint="eastAsia"/>
        </w:rPr>
        <w:t>期的违约概率为</w:t>
      </w:r>
    </w:p>
    <w:p>
      <w:pPr>
        <w:jc w:val="center"/>
      </w:pPr>
      <w:r>
        <w:rPr>
          <w:position w:val="-14"/>
        </w:rPr>
        <w:object>
          <v:shape id="_x0000_i1113" o:spt="75" type="#_x0000_t75" style="height:20.45pt;width:179.25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7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  <w:rPr>
          <w:szCs w:val="21"/>
        </w:rPr>
      </w:pPr>
      <w:r>
        <w:rPr>
          <w:position w:val="-12"/>
        </w:rPr>
        <w:object>
          <v:shape id="_x0000_i1114" o:spt="75" type="#_x0000_t75" style="height:18.9pt;width:14.3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3" ShapeID="_x0000_i1114" DrawAspect="Content" ObjectID="_1468075814" r:id="rId179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position w:val="-12"/>
        </w:rPr>
        <w:tab/>
      </w:r>
      <w:r>
        <w:rPr>
          <w:position w:val="-12"/>
        </w:rPr>
        <w:object>
          <v:shape id="_x0000_i1115" o:spt="75" type="#_x0000_t75" style="height:18.9pt;width:16.35pt;" o:ole="t" filled="t" o:preferrelative="t" stroked="f" coordsize="21600,21600">
            <v:path/>
            <v:fill on="t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3" ShapeID="_x0000_i1115" DrawAspect="Content" ObjectID="_1468075815" r:id="rId181">
            <o:LockedField>false</o:LockedField>
          </o:OLEObject>
        </w:object>
      </w:r>
      <w:r>
        <w:rPr>
          <w:rFonts w:hint="eastAsia"/>
          <w:position w:val="-12"/>
        </w:rPr>
        <w:t xml:space="preserve">  </w:t>
      </w:r>
      <w:r>
        <w:rPr>
          <w:rFonts w:hint="eastAsia"/>
        </w:rPr>
        <w:t>期到</w:t>
      </w:r>
      <w:r>
        <w:rPr>
          <w:position w:val="-12"/>
        </w:rPr>
        <w:object>
          <v:shape id="_x0000_i1116" o:spt="75" type="#_x0000_t75" style="height:18.9pt;width:9.2pt;" o:ole="t" filled="t" o:preferrelative="t" stroked="f" coordsize="21600,21600">
            <v:path/>
            <v:fill on="t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3" ShapeID="_x0000_i1116" DrawAspect="Content" ObjectID="_1468075816" r:id="rId182">
            <o:LockedField>false</o:LockedField>
          </o:OLEObject>
        </w:object>
      </w:r>
      <w:r>
        <w:rPr>
          <w:rFonts w:hint="eastAsia"/>
        </w:rPr>
        <w:t>期的没有任何违约的生存概率</w:t>
      </w:r>
    </w:p>
    <w:p>
      <w:pPr>
        <w:ind w:firstLine="420" w:firstLineChars="200"/>
      </w:pPr>
      <w:r>
        <w:rPr>
          <w:position w:val="-12"/>
        </w:rPr>
        <w:object>
          <v:shape id="_x0000_i1117" o:spt="75" type="#_x0000_t75" style="height:18.9pt;width:29.1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3" ShapeID="_x0000_i1117" DrawAspect="Content" ObjectID="_1468075817" r:id="rId184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position w:val="-12"/>
        </w:rPr>
        <w:object>
          <v:shape id="_x0000_i1118" o:spt="75" type="#_x0000_t75" style="height:18.9pt;width:9.2pt;" o:ole="t" filled="t" o:preferrelative="t" stroked="f" coordsize="21600,21600">
            <v:path/>
            <v:fill on="t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3" ShapeID="_x0000_i1118" DrawAspect="Content" ObjectID="_1468075818" r:id="rId186">
            <o:LockedField>false</o:LockedField>
          </o:OLEObject>
        </w:object>
      </w:r>
      <w:r>
        <w:rPr>
          <w:rFonts w:hint="eastAsia"/>
          <w:position w:val="-12"/>
        </w:rPr>
        <w:t xml:space="preserve">  </w:t>
      </w:r>
      <w:r>
        <w:rPr>
          <w:rFonts w:hint="eastAsia"/>
        </w:rPr>
        <w:t>期的违约概率</w:t>
      </w:r>
    </w:p>
    <w:p>
      <w:pPr>
        <w:ind w:firstLine="420" w:firstLineChars="200"/>
        <w:rPr>
          <w:szCs w:val="21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CDS估价</w:t>
      </w:r>
    </w:p>
    <w:p>
      <w:r>
        <w:rPr>
          <w:rFonts w:hint="eastAsia"/>
        </w:rPr>
        <w:t>CDS理论利差由如下等式得出：</w:t>
      </w:r>
    </w:p>
    <w:p>
      <w:pPr>
        <w:jc w:val="center"/>
      </w:pPr>
      <w:r>
        <w:rPr>
          <w:position w:val="-98"/>
        </w:rPr>
        <w:object>
          <v:shape id="_x0000_i1119" o:spt="75" type="#_x0000_t75" style="height:100.6pt;width:280.35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7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20" w:firstLineChars="200"/>
        <w:rPr>
          <w:szCs w:val="21"/>
        </w:rPr>
      </w:pPr>
      <w:r>
        <w:rPr>
          <w:position w:val="-14"/>
        </w:rPr>
        <w:object>
          <v:shape id="_x0000_i1120" o:spt="75" type="#_x0000_t75" style="height:18.9pt;width:42.9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9">
            <o:LockedField>false</o:LockedField>
          </o:OLEObject>
        </w:object>
      </w:r>
      <w:r>
        <w:tab/>
      </w:r>
      <w:r>
        <w:rPr>
          <w:rFonts w:hint="eastAsia"/>
          <w:szCs w:val="21"/>
        </w:rPr>
        <w:t>预期支付的现值</w:t>
      </w:r>
    </w:p>
    <w:p>
      <w:pPr>
        <w:ind w:firstLine="420" w:firstLineChars="200"/>
      </w:pPr>
      <w:r>
        <w:rPr>
          <w:position w:val="-12"/>
        </w:rPr>
        <w:object>
          <v:shape id="_x0000_i1121" o:spt="75" type="#_x0000_t75" style="height:17.85pt;width:17.85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1">
            <o:LockedField>false</o:LockedField>
          </o:OLEObject>
        </w:object>
      </w:r>
      <w:r>
        <w:tab/>
      </w:r>
      <w:r>
        <w:tab/>
      </w:r>
      <w:r>
        <w:tab/>
      </w:r>
      <w:r>
        <w:t>t</w:t>
      </w:r>
      <w:r>
        <w:rPr>
          <w:rFonts w:hint="eastAsia"/>
        </w:rPr>
        <w:t>期的生存概率</w:t>
      </w:r>
    </w:p>
    <w:p>
      <w:pPr>
        <w:ind w:firstLine="420" w:firstLineChars="200"/>
      </w:pPr>
      <w:r>
        <w:rPr>
          <w:position w:val="-12"/>
        </w:rPr>
        <w:object>
          <v:shape id="_x0000_i1122" o:spt="75" type="#_x0000_t75" style="height:17.85pt;width:24.5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3">
            <o:LockedField>false</o:LockedField>
          </o:OLEObject>
        </w:object>
      </w:r>
      <w:r>
        <w:tab/>
      </w:r>
      <w:r>
        <w:tab/>
      </w:r>
      <w:r>
        <w:rPr>
          <w:rFonts w:hint="eastAsia"/>
        </w:rPr>
        <w:t>t期的支付额</w:t>
      </w:r>
    </w:p>
    <w:p>
      <w:pPr>
        <w:ind w:firstLine="420" w:firstLineChars="200"/>
      </w:pPr>
      <w:r>
        <w:rPr>
          <w:position w:val="-12"/>
        </w:rPr>
        <w:object>
          <v:shape id="_x0000_i1123" o:spt="75" type="#_x0000_t75" style="height:17.85pt;width:12.75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5">
            <o:LockedField>false</o:LockedField>
          </o:OLEObject>
        </w:object>
      </w:r>
      <w:r>
        <w:tab/>
      </w:r>
      <w:r>
        <w:tab/>
      </w:r>
      <w:r>
        <w:tab/>
      </w:r>
      <w:r>
        <w:rPr>
          <w:rFonts w:hint="eastAsia"/>
        </w:rPr>
        <w:t>t期的折现因子</w:t>
      </w:r>
    </w:p>
    <w:p>
      <w:pPr>
        <w:ind w:firstLine="420" w:firstLineChars="200"/>
      </w:pPr>
      <w:r>
        <w:rPr>
          <w:position w:val="-12"/>
        </w:rPr>
        <w:object>
          <v:shape id="_x0000_i1124" o:spt="75" type="#_x0000_t75" style="height:17.85pt;width:20.45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7">
            <o:LockedField>false</o:LockedField>
          </o:OLEObject>
        </w:object>
      </w:r>
      <w:r>
        <w:tab/>
      </w:r>
      <w:r>
        <w:tab/>
      </w:r>
      <w:r>
        <w:tab/>
      </w:r>
      <w:r>
        <w:rPr>
          <w:rFonts w:hint="eastAsia"/>
        </w:rPr>
        <w:t>t期的违约概率</w:t>
      </w:r>
    </w:p>
    <w:p>
      <w:pPr>
        <w:ind w:firstLine="420" w:firstLineChars="200"/>
      </w:pPr>
      <w:r>
        <w:rPr>
          <w:position w:val="-12"/>
        </w:rPr>
        <w:object>
          <v:shape id="_x0000_i1125" o:spt="75" type="#_x0000_t75" style="height:17.85pt;width:57.7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9">
            <o:LockedField>false</o:LockedField>
          </o:OLEObject>
        </w:object>
      </w:r>
      <w:r>
        <w:tab/>
      </w:r>
      <w:r>
        <w:rPr>
          <w:rFonts w:hint="eastAsia"/>
        </w:rPr>
        <w:t>t期违约时的应计支付</w:t>
      </w:r>
    </w:p>
    <w:p>
      <w:pPr>
        <w:ind w:firstLine="420" w:firstLineChars="200"/>
        <w:rPr>
          <w:szCs w:val="21"/>
        </w:rPr>
      </w:pPr>
      <w:r>
        <w:rPr>
          <w:position w:val="-14"/>
        </w:rPr>
        <w:object>
          <v:shape id="_x0000_i1126" o:spt="75" type="#_x0000_t75" style="height:18.9pt;width:39.85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1">
            <o:LockedField>false</o:LockedField>
          </o:OLEObject>
        </w:object>
      </w:r>
      <w:r>
        <w:tab/>
      </w:r>
      <w:r>
        <w:tab/>
      </w:r>
      <w:r>
        <w:rPr>
          <w:rFonts w:hint="eastAsia"/>
          <w:szCs w:val="21"/>
        </w:rPr>
        <w:t>预期支付的现值</w:t>
      </w:r>
    </w:p>
    <w:p>
      <w:pPr>
        <w:ind w:firstLine="420" w:firstLineChars="200"/>
      </w:pPr>
      <w:r>
        <w:rPr>
          <w:position w:val="-12"/>
        </w:rPr>
        <w:object>
          <v:shape id="_x0000_i1127" o:spt="75" type="#_x0000_t75" style="height:17.85pt;width:14.3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3">
            <o:LockedField>false</o:LockedField>
          </o:OLEObject>
        </w:object>
      </w:r>
      <w:r>
        <w:tab/>
      </w:r>
      <w:r>
        <w:tab/>
      </w:r>
      <w:r>
        <w:tab/>
      </w:r>
      <w:r>
        <w:t>t</w:t>
      </w:r>
      <w:r>
        <w:rPr>
          <w:rFonts w:hint="eastAsia"/>
        </w:rPr>
        <w:t>期的回收率</w:t>
      </w:r>
    </w:p>
    <w:p>
      <w:pPr>
        <w:ind w:firstLine="420" w:firstLineChars="200"/>
        <w:rPr>
          <w:position w:val="-28"/>
        </w:rPr>
      </w:pPr>
    </w:p>
    <w:p>
      <w:pPr>
        <w:pStyle w:val="3"/>
        <w:rPr>
          <w:lang w:eastAsia="zh-CN"/>
        </w:rPr>
      </w:pPr>
      <w:bookmarkStart w:id="27" w:name="_Toc21027"/>
      <w:r>
        <w:rPr>
          <w:rFonts w:hint="eastAsia"/>
          <w:lang w:eastAsia="zh-CN"/>
        </w:rPr>
        <w:t>2 衍生产品和其他产品的分析</w:t>
      </w:r>
      <w:bookmarkEnd w:id="27"/>
    </w:p>
    <w:p>
      <w:pPr>
        <w:pStyle w:val="4"/>
        <w:rPr>
          <w:lang w:eastAsia="zh-CN"/>
        </w:rPr>
      </w:pPr>
      <w:bookmarkStart w:id="28" w:name="_Toc2885"/>
      <w:r>
        <w:rPr>
          <w:lang w:eastAsia="zh-CN"/>
        </w:rPr>
        <w:t>2.1</w:t>
      </w:r>
      <w:r>
        <w:rPr>
          <w:rFonts w:hint="eastAsia"/>
          <w:lang w:eastAsia="zh-CN"/>
        </w:rPr>
        <w:t>期货</w:t>
      </w:r>
      <w:bookmarkEnd w:id="28"/>
    </w:p>
    <w:p>
      <w:pPr>
        <w:pStyle w:val="5"/>
        <w:rPr>
          <w:lang w:eastAsia="zh-CN"/>
        </w:rPr>
      </w:pPr>
      <w:r>
        <w:rPr>
          <w:lang w:eastAsia="zh-CN"/>
        </w:rPr>
        <w:t xml:space="preserve">2.1.1 </w:t>
      </w:r>
      <w:r>
        <w:rPr>
          <w:rFonts w:hint="eastAsia"/>
          <w:lang w:eastAsia="zh-CN"/>
        </w:rPr>
        <w:t>期货的理论价格</w:t>
      </w:r>
    </w:p>
    <w:p>
      <w:pPr>
        <w:pStyle w:val="6"/>
      </w:pPr>
      <w:r>
        <w:rPr>
          <w:rFonts w:hint="eastAsia"/>
        </w:rPr>
        <w:t>无收益资产的期货定价</w:t>
      </w:r>
    </w:p>
    <w:p>
      <w:pPr>
        <w:jc w:val="center"/>
        <w:rPr>
          <w:szCs w:val="21"/>
        </w:rPr>
      </w:pPr>
      <w:r>
        <w:rPr>
          <w:position w:val="-14"/>
        </w:rPr>
        <w:object>
          <v:shape id="_x0000_i1128" o:spt="75" type="#_x0000_t75" style="height:18.9pt;width:84.75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3" ShapeID="_x0000_i1128" DrawAspect="Content" ObjectID="_1468075828" r:id="rId205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 xml:space="preserve">t, T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T日交割的期货合约在t日的价格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S</w:t>
      </w:r>
      <w:r>
        <w:rPr>
          <w:rFonts w:hint="eastAsia"/>
          <w:szCs w:val="21"/>
          <w:vertAlign w:val="subscript"/>
        </w:rPr>
        <w:t xml:space="preserve">t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标的资产在t日的现货价格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t, T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在t和T日之间的无风险利率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普通的持有成本关系</w:t>
      </w:r>
    </w:p>
    <w:p>
      <w:pPr>
        <w:jc w:val="center"/>
        <w:rPr>
          <w:szCs w:val="21"/>
        </w:rPr>
      </w:pPr>
      <w:r>
        <w:rPr>
          <w:position w:val="-14"/>
        </w:rPr>
        <w:object>
          <v:shape id="_x0000_i1129" o:spt="75" type="#_x0000_t75" style="height:19.4pt;width:203.2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7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 xml:space="preserve">t, T   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T日交割的期货合约在t日的价格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S</w:t>
      </w:r>
      <w:r>
        <w:rPr>
          <w:rFonts w:hint="eastAsia"/>
          <w:szCs w:val="21"/>
          <w:vertAlign w:val="subscript"/>
        </w:rPr>
        <w:t xml:space="preserve">t    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标的资产在t日的现货价格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t, T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在t和T日之间的无风险利率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k(t, </w:t>
      </w:r>
      <w:r>
        <w:rPr>
          <w:szCs w:val="21"/>
        </w:rPr>
        <w:t>T</w:t>
      </w:r>
      <w:r>
        <w:rPr>
          <w:rFonts w:hint="eastAsia"/>
          <w:szCs w:val="21"/>
        </w:rPr>
        <w:t xml:space="preserve">)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持有成本，诸如保险费，储存成本等。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FV(revenues)  </w:t>
      </w:r>
      <w:r>
        <w:rPr>
          <w:szCs w:val="21"/>
        </w:rPr>
        <w:tab/>
      </w:r>
      <w:r>
        <w:rPr>
          <w:rFonts w:hint="eastAsia"/>
          <w:szCs w:val="21"/>
        </w:rPr>
        <w:t>持有现货的收益的终值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连续时间的持有成本关系</w:t>
      </w:r>
    </w:p>
    <w:p>
      <w:pPr>
        <w:jc w:val="center"/>
        <w:rPr>
          <w:szCs w:val="21"/>
        </w:rPr>
      </w:pPr>
      <w:r>
        <w:rPr>
          <w:position w:val="-14"/>
          <w:sz w:val="20"/>
        </w:rPr>
        <w:object>
          <v:shape id="_x0000_i1130" o:spt="75" type="#_x0000_t75" style="height:20.45pt;width:84.25pt;" o:ole="t" filled="t" o:preferrelative="t" stroked="f" coordsize="21600,21600">
            <v:path/>
            <v:fill on="t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9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 xml:space="preserve">t, T 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T日交割的期货合约在t日的价格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S</w:t>
      </w:r>
      <w:r>
        <w:rPr>
          <w:rFonts w:hint="eastAsia"/>
          <w:szCs w:val="21"/>
          <w:vertAlign w:val="subscript"/>
        </w:rPr>
        <w:t xml:space="preserve">t  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标的资产在t日的现货价格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y      </w:t>
      </w:r>
      <w:r>
        <w:rPr>
          <w:szCs w:val="21"/>
        </w:rPr>
        <w:tab/>
      </w:r>
      <w:r>
        <w:rPr>
          <w:rFonts w:hint="eastAsia"/>
          <w:szCs w:val="21"/>
        </w:rPr>
        <w:t>标的资产或商品的连续净收益（收益减去持有成本）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  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连续年化无风险复合利率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欧拉数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股票指数期货</w:t>
      </w:r>
    </w:p>
    <w:p>
      <w:pPr>
        <w:jc w:val="center"/>
        <w:rPr>
          <w:szCs w:val="21"/>
        </w:rPr>
      </w:pPr>
      <w:r>
        <w:rPr>
          <w:position w:val="-34"/>
        </w:rPr>
        <w:object>
          <v:shape id="_x0000_i1131" o:spt="75" type="#_x0000_t75" style="height:38.3pt;width:215.5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3" ShapeID="_x0000_i1131" DrawAspect="Content" ObjectID="_1468075831" r:id="rId211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 xml:space="preserve">t, T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T日交割的期货合约在t日的价格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I</w:t>
      </w:r>
      <w:r>
        <w:rPr>
          <w:rFonts w:hint="eastAsia"/>
          <w:szCs w:val="21"/>
          <w:vertAlign w:val="subscript"/>
        </w:rPr>
        <w:t xml:space="preserve">t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指数的当前现货价格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t, T   </w:t>
      </w:r>
      <w:r>
        <w:rPr>
          <w:rFonts w:hint="eastAsia"/>
          <w:szCs w:val="21"/>
        </w:rPr>
        <w:t>在t和T日之间的无风险利率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w</w:t>
      </w:r>
      <w:r>
        <w:rPr>
          <w:rFonts w:hint="eastAsia"/>
          <w:szCs w:val="21"/>
          <w:vertAlign w:val="subscript"/>
        </w:rPr>
        <w:t xml:space="preserve">i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股票i在指数中的比重</w:t>
      </w:r>
    </w:p>
    <w:p>
      <w:pPr>
        <w:ind w:firstLine="435"/>
        <w:rPr>
          <w:szCs w:val="21"/>
        </w:rPr>
      </w:pPr>
      <w:r>
        <w:rPr>
          <w:position w:val="-16"/>
          <w:sz w:val="22"/>
        </w:rPr>
        <w:object>
          <v:shape id="_x0000_i1132" o:spt="75" type="#_x0000_t75" style="height:19.4pt;width:21.95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3" ShapeID="_x0000_i1132" DrawAspect="Content" ObjectID="_1468075832" r:id="rId213">
            <o:LockedField>false</o:LockedField>
          </o:OLEObject>
        </w:object>
      </w:r>
      <w:r>
        <w:rPr>
          <w:rFonts w:hint="eastAsia"/>
          <w:position w:val="-16"/>
          <w:sz w:val="22"/>
        </w:rPr>
        <w:t xml:space="preserve">   </w:t>
      </w:r>
      <w:r>
        <w:rPr>
          <w:rFonts w:hint="eastAsia"/>
          <w:szCs w:val="21"/>
        </w:rPr>
        <w:t>股票i在t</w:t>
      </w:r>
      <w:r>
        <w:rPr>
          <w:rFonts w:hint="eastAsia"/>
          <w:szCs w:val="21"/>
          <w:vertAlign w:val="subscript"/>
        </w:rPr>
        <w:t>j</w:t>
      </w:r>
      <w:r>
        <w:rPr>
          <w:rFonts w:hint="eastAsia"/>
          <w:szCs w:val="21"/>
        </w:rPr>
        <w:t>日支付的股利</w:t>
      </w:r>
    </w:p>
    <w:p>
      <w:pPr>
        <w:ind w:firstLine="435"/>
        <w:rPr>
          <w:szCs w:val="21"/>
        </w:rPr>
      </w:pPr>
      <w:r>
        <w:rPr>
          <w:position w:val="-20"/>
          <w:sz w:val="22"/>
        </w:rPr>
        <w:object>
          <v:shape id="_x0000_i1133" o:spt="75" type="#_x0000_t75" style="height:21.95pt;width:28.6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3" ShapeID="_x0000_i1133" DrawAspect="Content" ObjectID="_1468075833" r:id="rId215">
            <o:LockedField>false</o:LockedField>
          </o:OLEObject>
        </w:object>
      </w:r>
      <w:r>
        <w:rPr>
          <w:rFonts w:hint="eastAsia"/>
          <w:position w:val="-20"/>
          <w:sz w:val="22"/>
        </w:rPr>
        <w:t xml:space="preserve"> </w:t>
      </w:r>
      <w:r>
        <w:rPr>
          <w:rFonts w:hint="eastAsia"/>
          <w:szCs w:val="21"/>
        </w:rPr>
        <w:t>在t</w:t>
      </w:r>
      <w:r>
        <w:rPr>
          <w:rFonts w:hint="eastAsia"/>
          <w:szCs w:val="21"/>
          <w:vertAlign w:val="subscript"/>
        </w:rPr>
        <w:t>j</w:t>
      </w:r>
      <w:r>
        <w:rPr>
          <w:rFonts w:hint="eastAsia"/>
          <w:szCs w:val="21"/>
        </w:rPr>
        <w:t>和T日之间的利率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N   </w:t>
      </w:r>
      <w:r>
        <w:rPr>
          <w:szCs w:val="21"/>
        </w:rPr>
        <w:tab/>
      </w:r>
      <w:r>
        <w:rPr>
          <w:rFonts w:hint="eastAsia"/>
          <w:szCs w:val="21"/>
        </w:rPr>
        <w:t>指数中包含的证券的数量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ab/>
      </w:r>
      <w:r>
        <w:rPr>
          <w:rFonts w:hint="eastAsia"/>
          <w:szCs w:val="21"/>
        </w:rPr>
        <w:t>欧拉数</w:t>
      </w:r>
    </w:p>
    <w:p>
      <w:pPr>
        <w:pStyle w:val="6"/>
        <w:rPr>
          <w:b w:val="0"/>
        </w:rPr>
      </w:pPr>
    </w:p>
    <w:p>
      <w:pPr>
        <w:pStyle w:val="6"/>
      </w:pPr>
      <w:r>
        <w:rPr>
          <w:rFonts w:hint="eastAsia"/>
        </w:rPr>
        <w:t>股票指数期货（连续时间）</w:t>
      </w:r>
    </w:p>
    <w:p>
      <w:pPr>
        <w:jc w:val="center"/>
        <w:rPr>
          <w:szCs w:val="21"/>
        </w:rPr>
      </w:pPr>
      <w:r>
        <w:rPr>
          <w:position w:val="-14"/>
          <w:szCs w:val="21"/>
        </w:rPr>
        <w:object>
          <v:shape id="_x0000_i1134" o:spt="75" type="#_x0000_t75" style="height:25.55pt;width:120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3" ShapeID="_x0000_i1134" DrawAspect="Content" ObjectID="_1468075834" r:id="rId217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539" w:firstLineChars="257"/>
        <w:rPr>
          <w:szCs w:val="21"/>
        </w:rPr>
      </w:pP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 xml:space="preserve">t, T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T日交割的期货合约在t日的价格</w:t>
      </w:r>
    </w:p>
    <w:p>
      <w:pPr>
        <w:ind w:firstLine="539" w:firstLineChars="257"/>
        <w:rPr>
          <w:szCs w:val="21"/>
        </w:rPr>
      </w:pPr>
      <w:r>
        <w:rPr>
          <w:szCs w:val="21"/>
        </w:rPr>
        <w:t>y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ab/>
      </w:r>
      <w:r>
        <w:rPr>
          <w:rFonts w:hint="eastAsia"/>
          <w:szCs w:val="21"/>
        </w:rPr>
        <w:t>股指的连续红利率（年化）</w:t>
      </w:r>
    </w:p>
    <w:p>
      <w:pPr>
        <w:ind w:firstLine="539" w:firstLineChars="257"/>
        <w:rPr>
          <w:position w:val="-12"/>
        </w:rPr>
      </w:pPr>
      <w:r>
        <w:rPr>
          <w:rFonts w:hint="eastAsia"/>
          <w:szCs w:val="21"/>
        </w:rPr>
        <w:t>r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连续年化无风险复合利率</w:t>
      </w:r>
      <w:r>
        <w:rPr>
          <w:rFonts w:hint="eastAsia"/>
          <w:position w:val="-12"/>
        </w:rPr>
        <w:t xml:space="preserve">    </w:t>
      </w:r>
    </w:p>
    <w:p>
      <w:pPr>
        <w:ind w:firstLine="539" w:firstLineChars="257"/>
        <w:rPr>
          <w:szCs w:val="21"/>
        </w:rPr>
      </w:pPr>
    </w:p>
    <w:p>
      <w:pPr>
        <w:pStyle w:val="6"/>
      </w:pPr>
      <w:r>
        <w:rPr>
          <w:rFonts w:hint="eastAsia"/>
        </w:rPr>
        <w:t>远期汇率</w:t>
      </w:r>
    </w:p>
    <w:p>
      <w:pPr>
        <w:jc w:val="center"/>
        <w:rPr>
          <w:szCs w:val="21"/>
        </w:rPr>
      </w:pPr>
      <w:r>
        <w:rPr>
          <w:position w:val="-34"/>
          <w:sz w:val="20"/>
        </w:rPr>
        <w:object>
          <v:shape id="_x0000_i1135" o:spt="75" type="#_x0000_t75" style="height:40.35pt;width:99.05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3" ShapeID="_x0000_i1135" DrawAspect="Content" ObjectID="_1468075835" r:id="rId219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连续复利下</w:t>
      </w:r>
    </w:p>
    <w:p>
      <w:pPr>
        <w:jc w:val="center"/>
        <w:rPr>
          <w:szCs w:val="21"/>
        </w:rPr>
      </w:pPr>
      <w:r>
        <w:rPr>
          <w:position w:val="-14"/>
          <w:sz w:val="20"/>
        </w:rPr>
        <w:object>
          <v:shape id="_x0000_i1136" o:spt="75" type="#_x0000_t75" style="height:24pt;width:123.5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3" ShapeID="_x0000_i1136" DrawAspect="Content" ObjectID="_1468075836" r:id="rId221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 xml:space="preserve">t, T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远期汇率（每外币之本币数）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S</w:t>
      </w:r>
      <w:r>
        <w:rPr>
          <w:rFonts w:hint="eastAsia"/>
          <w:szCs w:val="21"/>
          <w:vertAlign w:val="subscript"/>
        </w:rPr>
        <w:t xml:space="preserve">t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现货汇率（每外币之本币数）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position w:val="-14"/>
          <w:szCs w:val="21"/>
        </w:rPr>
        <w:object>
          <v:shape id="_x0000_i1137" o:spt="75" type="#_x0000_t75" style="height:20.45pt;width:20.9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3" ShapeID="_x0000_i1137" DrawAspect="Content" ObjectID="_1468075837" r:id="rId223">
            <o:LockedField>false</o:LockedField>
          </o:OLEObject>
        </w:object>
      </w:r>
      <w:r>
        <w:rPr>
          <w:rFonts w:hint="eastAsia"/>
          <w:szCs w:val="21"/>
          <w:vertAlign w:val="subscript"/>
        </w:rPr>
        <w:t xml:space="preserve">    </w:t>
      </w:r>
      <w:r>
        <w:rPr>
          <w:rFonts w:hint="eastAsia"/>
          <w:szCs w:val="21"/>
        </w:rPr>
        <w:t>在t和T时之间的本币之无风险利率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position w:val="-14"/>
          <w:szCs w:val="21"/>
        </w:rPr>
        <w:object>
          <v:shape id="_x0000_i1138" o:spt="75" type="#_x0000_t75" style="height:20.45pt;width:17.85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3" ShapeID="_x0000_i1138" DrawAspect="Content" ObjectID="_1468075838" r:id="rId225">
            <o:LockedField>false</o:LockedField>
          </o:OLEObject>
        </w:object>
      </w:r>
      <w:r>
        <w:rPr>
          <w:rFonts w:hint="eastAsia"/>
          <w:szCs w:val="21"/>
          <w:vertAlign w:val="subscript"/>
        </w:rPr>
        <w:t xml:space="preserve">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在t和T时之间的外币之无风险利率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dom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在t和T时之间的本币之连续复利无风险利率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for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在t和T时之间的外币之连续复利无风险利率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欧拉数</w:t>
      </w:r>
    </w:p>
    <w:p>
      <w:pPr>
        <w:ind w:firstLine="435"/>
        <w:rPr>
          <w:szCs w:val="21"/>
        </w:rPr>
      </w:pPr>
    </w:p>
    <w:p>
      <w:pPr>
        <w:pStyle w:val="6"/>
      </w:pPr>
      <w:r>
        <w:rPr>
          <w:rFonts w:hint="eastAsia"/>
        </w:rPr>
        <w:t>商品期货</w:t>
      </w:r>
    </w:p>
    <w:p>
      <w:pPr>
        <w:jc w:val="center"/>
        <w:rPr>
          <w:szCs w:val="21"/>
        </w:rPr>
      </w:pPr>
      <w:r>
        <w:rPr>
          <w:position w:val="-14"/>
        </w:rPr>
        <w:object>
          <v:shape id="_x0000_i1139" o:spt="75" type="#_x0000_t75" style="height:18.9pt;width:174.1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3" ShapeID="_x0000_i1139" DrawAspect="Content" ObjectID="_1468075839" r:id="rId227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 xml:space="preserve">t, T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T日交割的期货合约在t日的价格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S</w:t>
      </w:r>
      <w:r>
        <w:rPr>
          <w:rFonts w:hint="eastAsia"/>
          <w:szCs w:val="21"/>
          <w:vertAlign w:val="subscript"/>
        </w:rPr>
        <w:t xml:space="preserve">t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标的资产在t日的现货价格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t, T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在（T - t）期间的无风险利率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k(t, T)   持有成本，诸如保险费，储存成本等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Y</w:t>
      </w:r>
      <w:r>
        <w:rPr>
          <w:rFonts w:hint="eastAsia"/>
          <w:szCs w:val="21"/>
          <w:vertAlign w:val="subscript"/>
        </w:rPr>
        <w:t xml:space="preserve">t, T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便利收益</w:t>
      </w:r>
    </w:p>
    <w:p>
      <w:pPr>
        <w:ind w:firstLine="420"/>
        <w:rPr>
          <w:szCs w:val="21"/>
        </w:rPr>
      </w:pPr>
    </w:p>
    <w:p>
      <w:pPr>
        <w:pStyle w:val="6"/>
      </w:pPr>
      <w:r>
        <w:rPr>
          <w:rFonts w:hint="eastAsia"/>
        </w:rPr>
        <w:t>利率期货的持有成本关系</w:t>
      </w:r>
    </w:p>
    <w:p>
      <w:pPr>
        <w:jc w:val="center"/>
        <w:rPr>
          <w:position w:val="-24"/>
          <w:sz w:val="20"/>
          <w:highlight w:val="red"/>
        </w:rPr>
      </w:pPr>
    </w:p>
    <w:p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F</w:t>
      </w:r>
      <w:r>
        <w:rPr>
          <w:rFonts w:hint="eastAsia"/>
          <w:sz w:val="22"/>
          <w:szCs w:val="22"/>
          <w:vertAlign w:val="subscript"/>
        </w:rPr>
        <w:t xml:space="preserve">t,T </w:t>
      </w:r>
      <w:r>
        <w:rPr>
          <w:rFonts w:hint="eastAsia"/>
          <w:sz w:val="22"/>
          <w:szCs w:val="22"/>
        </w:rPr>
        <w:t>= [(S</w:t>
      </w:r>
      <w:r>
        <w:rPr>
          <w:rFonts w:hint="eastAsia"/>
          <w:sz w:val="22"/>
          <w:szCs w:val="22"/>
          <w:vertAlign w:val="subscript"/>
        </w:rPr>
        <w:t>t</w:t>
      </w:r>
      <w:r>
        <w:rPr>
          <w:rFonts w:hint="eastAsia"/>
          <w:sz w:val="22"/>
          <w:szCs w:val="22"/>
        </w:rPr>
        <w:t xml:space="preserve"> + AI</w:t>
      </w:r>
      <w:r>
        <w:rPr>
          <w:rFonts w:hint="eastAsia"/>
          <w:sz w:val="22"/>
          <w:szCs w:val="22"/>
          <w:vertAlign w:val="subscript"/>
        </w:rPr>
        <w:t>t</w:t>
      </w:r>
      <w:r>
        <w:rPr>
          <w:rFonts w:hint="eastAsia"/>
          <w:sz w:val="22"/>
          <w:szCs w:val="22"/>
        </w:rPr>
        <w:t>)×(1+R</w:t>
      </w:r>
      <w:r>
        <w:rPr>
          <w:rFonts w:hint="eastAsia"/>
          <w:sz w:val="22"/>
          <w:szCs w:val="22"/>
          <w:vertAlign w:val="subscript"/>
        </w:rPr>
        <w:t>t,T</w:t>
      </w:r>
      <w:r>
        <w:rPr>
          <w:rFonts w:hint="eastAsia"/>
          <w:sz w:val="22"/>
          <w:szCs w:val="22"/>
        </w:rPr>
        <w:t>)-C</w:t>
      </w:r>
      <w:r>
        <w:rPr>
          <w:rFonts w:hint="eastAsia"/>
          <w:sz w:val="22"/>
          <w:szCs w:val="22"/>
          <w:vertAlign w:val="subscript"/>
        </w:rPr>
        <w:t>t,T</w:t>
      </w:r>
      <w:r>
        <w:rPr>
          <w:rFonts w:hint="eastAsia"/>
          <w:sz w:val="22"/>
          <w:szCs w:val="22"/>
        </w:rPr>
        <w:t>-AI</w:t>
      </w:r>
      <w:r>
        <w:rPr>
          <w:rFonts w:hint="eastAsia"/>
          <w:sz w:val="22"/>
          <w:szCs w:val="22"/>
          <w:vertAlign w:val="subscript"/>
        </w:rPr>
        <w:t>T</w:t>
      </w:r>
      <w:r>
        <w:rPr>
          <w:rFonts w:hint="eastAsia"/>
          <w:sz w:val="22"/>
          <w:szCs w:val="22"/>
        </w:rPr>
        <w:t xml:space="preserve"> ]/ CF</w: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 xml:space="preserve">t, T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T日交割的期货合约在t日的“公允”价格报价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S</w:t>
      </w:r>
      <w:r>
        <w:rPr>
          <w:rFonts w:hint="eastAsia"/>
          <w:szCs w:val="21"/>
          <w:vertAlign w:val="subscript"/>
        </w:rPr>
        <w:t xml:space="preserve">t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标的债券在t日的现货价格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A</w:t>
      </w:r>
      <w:r>
        <w:rPr>
          <w:szCs w:val="21"/>
        </w:rPr>
        <w:t>I</w:t>
      </w:r>
      <w:r>
        <w:rPr>
          <w:rFonts w:hint="eastAsia"/>
          <w:szCs w:val="21"/>
          <w:vertAlign w:val="subscript"/>
        </w:rPr>
        <w:t xml:space="preserve"> t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标的资产在t日的应计利息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t, T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在t和T日之间的无风险利率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  <w:vertAlign w:val="subscript"/>
        </w:rPr>
        <w:t xml:space="preserve">t, T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在t和T日之间所有息票支付利息重新投资的未来价值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A</w:t>
      </w:r>
      <w:r>
        <w:rPr>
          <w:szCs w:val="21"/>
        </w:rPr>
        <w:t>I</w:t>
      </w:r>
      <w:r>
        <w:rPr>
          <w:rFonts w:hint="eastAsia"/>
          <w:szCs w:val="21"/>
          <w:vertAlign w:val="subscript"/>
        </w:rPr>
        <w:t xml:space="preserve">T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交割债券在T日的应计利息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C</w:t>
      </w:r>
      <w:r>
        <w:rPr>
          <w:szCs w:val="21"/>
        </w:rPr>
        <w:t>F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转换因子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b/>
          <w:szCs w:val="21"/>
        </w:rPr>
        <w:t>转换因子（</w:t>
      </w:r>
      <w:r>
        <w:rPr>
          <w:b/>
          <w:szCs w:val="21"/>
        </w:rPr>
        <w:t>CF</w:t>
      </w:r>
      <w:r>
        <w:rPr>
          <w:rFonts w:hint="eastAsia"/>
          <w:b/>
          <w:szCs w:val="21"/>
        </w:rPr>
        <w:t>）</w:t>
      </w:r>
    </w:p>
    <w:p>
      <w:pPr>
        <w:rPr>
          <w:szCs w:val="21"/>
        </w:rPr>
      </w:pPr>
      <w:r>
        <w:rPr>
          <w:position w:val="-34"/>
          <w:szCs w:val="21"/>
        </w:rPr>
        <w:object>
          <v:shape id="_x0000_i1140" o:spt="75" type="#_x0000_t75" style="height:41.35pt;width:380.4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3" ShapeID="_x0000_i1140" DrawAspect="Content" ObjectID="_1468075840" r:id="rId229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CR</w:t>
      </w:r>
      <w:r>
        <w:rPr>
          <w:rFonts w:hint="eastAsia"/>
          <w:szCs w:val="21"/>
          <w:vertAlign w:val="subscript"/>
        </w:rPr>
        <w:t xml:space="preserve">U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基础票面利率</w:t>
      </w:r>
    </w:p>
    <w:p>
      <w:pPr>
        <w:ind w:firstLine="435"/>
        <w:rPr>
          <w:szCs w:val="21"/>
        </w:rPr>
      </w:pPr>
      <w:r>
        <w:rPr>
          <w:szCs w:val="21"/>
        </w:rPr>
        <w:t>f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直到下一次利息支付前的整月数除以12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C   </w:t>
      </w:r>
      <w:r>
        <w:rPr>
          <w:szCs w:val="21"/>
        </w:rPr>
        <w:tab/>
      </w:r>
      <w:r>
        <w:rPr>
          <w:rFonts w:hint="eastAsia"/>
          <w:szCs w:val="21"/>
        </w:rPr>
        <w:t>交割债券的票息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n   </w:t>
      </w:r>
      <w:r>
        <w:rPr>
          <w:szCs w:val="21"/>
        </w:rPr>
        <w:tab/>
      </w:r>
      <w:r>
        <w:rPr>
          <w:rFonts w:hint="eastAsia"/>
          <w:szCs w:val="21"/>
        </w:rPr>
        <w:t>直到债券最后一次支付前剩余的年数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交割日期货的理论价格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 xml:space="preserve">T, T  </w:t>
      </w:r>
      <w:r>
        <w:rPr>
          <w:rFonts w:hint="eastAsia"/>
          <w:szCs w:val="21"/>
        </w:rPr>
        <w:t xml:space="preserve">= </w:t>
      </w:r>
      <w:r>
        <w:rPr>
          <w:rFonts w:hint="eastAsia"/>
          <w:position w:val="-24"/>
          <w:szCs w:val="21"/>
        </w:rPr>
        <w:object>
          <v:shape id="_x0000_i1141" o:spt="75" type="#_x0000_t75" style="height:33.2pt;width:29.1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3" ShapeID="_x0000_i1141" DrawAspect="Content" ObjectID="_1468075841" r:id="rId231">
            <o:LockedField>false</o:LockedField>
          </o:OLEObject>
        </w:objec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F</w:t>
      </w:r>
      <w:r>
        <w:rPr>
          <w:rFonts w:hint="eastAsia"/>
          <w:position w:val="-12"/>
          <w:szCs w:val="21"/>
        </w:rPr>
        <w:object>
          <v:shape id="_x0000_i1142" o:spt="75" type="#_x0000_t75" style="height:17.85pt;width:20.45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3" ShapeID="_x0000_i1142" DrawAspect="Content" ObjectID="_1468075842" r:id="rId233">
            <o:LockedField>false</o:LockedField>
          </o:OLEObject>
        </w:object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到期时期货的价格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S</w:t>
      </w:r>
      <w:r>
        <w:rPr>
          <w:rFonts w:hint="eastAsia"/>
          <w:position w:val="-10"/>
          <w:szCs w:val="21"/>
        </w:rPr>
        <w:object>
          <v:shape id="_x0000_i1143" o:spt="75" type="#_x0000_t75" style="height:17.85pt;width:17.85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3" ShapeID="_x0000_i1143" DrawAspect="Content" ObjectID="_1468075843" r:id="rId235">
            <o:LockedField>false</o:LockedField>
          </o:OLEObject>
        </w:object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 xml:space="preserve">到期时交割最便宜的债券的现货价格 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CF  </w:t>
      </w:r>
      <w:r>
        <w:rPr>
          <w:szCs w:val="21"/>
        </w:rPr>
        <w:tab/>
      </w:r>
      <w:r>
        <w:rPr>
          <w:rFonts w:hint="eastAsia"/>
          <w:szCs w:val="21"/>
        </w:rPr>
        <w:t>转换因子</w:t>
      </w:r>
    </w:p>
    <w:p>
      <w:pPr>
        <w:ind w:firstLine="420" w:firstLineChars="200"/>
        <w:rPr>
          <w:szCs w:val="21"/>
        </w:rPr>
      </w:pPr>
    </w:p>
    <w:p>
      <w:pPr>
        <w:pStyle w:val="5"/>
        <w:rPr>
          <w:lang w:eastAsia="zh-CN"/>
        </w:rPr>
      </w:pPr>
      <w:r>
        <w:rPr>
          <w:rFonts w:hint="eastAsia"/>
          <w:lang w:eastAsia="zh-CN"/>
        </w:rPr>
        <w:t>2.1.2 套期保值策略</w:t>
      </w:r>
    </w:p>
    <w:p>
      <w:pPr>
        <w:pStyle w:val="6"/>
      </w:pPr>
      <w:r>
        <w:rPr>
          <w:rFonts w:hint="eastAsia"/>
        </w:rPr>
        <w:t>套期保值比率</w:t>
      </w:r>
    </w:p>
    <w:p>
      <w:pPr>
        <w:jc w:val="center"/>
        <w:rPr>
          <w:szCs w:val="21"/>
        </w:rPr>
      </w:pPr>
      <w:r>
        <w:rPr>
          <w:position w:val="-30"/>
        </w:rPr>
        <w:object>
          <v:shape id="_x0000_i1144" o:spt="75" type="#_x0000_t75" style="height:36.25pt;width:105.2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3" ShapeID="_x0000_i1144" DrawAspect="Content" ObjectID="_1468075844" r:id="rId237">
            <o:LockedField>false</o:LockedField>
          </o:OLEObject>
        </w:object>
      </w:r>
    </w:p>
    <w:p>
      <w:pPr>
        <w:jc w:val="center"/>
        <w:rPr>
          <w:szCs w:val="21"/>
        </w:rPr>
      </w:pPr>
      <w:r>
        <w:rPr>
          <w:position w:val="-24"/>
        </w:rPr>
        <w:object>
          <v:shape id="_x0000_i1145" o:spt="75" type="#_x0000_t75" style="height:31.65pt;width:84.75pt;" o:ole="t" filled="t" o:preferrelative="t" stroked="f" coordsize="21600,21600">
            <v:path/>
            <v:fill on="t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3" ShapeID="_x0000_i1145" DrawAspect="Content" ObjectID="_1468075845" r:id="rId239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HR    </w:t>
      </w:r>
      <w:r>
        <w:rPr>
          <w:szCs w:val="21"/>
        </w:rPr>
        <w:tab/>
      </w:r>
      <w:r>
        <w:rPr>
          <w:rFonts w:hint="eastAsia"/>
          <w:szCs w:val="21"/>
        </w:rPr>
        <w:t>套期保值比率</w:t>
      </w:r>
    </w:p>
    <w:p>
      <w:pPr>
        <w:ind w:firstLine="435"/>
        <w:rPr>
          <w:szCs w:val="21"/>
        </w:rPr>
      </w:pPr>
      <w:r>
        <w:rPr>
          <w:szCs w:val="21"/>
        </w:rPr>
        <w:t>Δ</w:t>
      </w:r>
      <w:r>
        <w:rPr>
          <w:rFonts w:hint="eastAsia"/>
          <w:szCs w:val="21"/>
        </w:rPr>
        <w:t xml:space="preserve">S    </w:t>
      </w:r>
      <w:r>
        <w:rPr>
          <w:szCs w:val="21"/>
        </w:rPr>
        <w:tab/>
      </w:r>
      <w:r>
        <w:rPr>
          <w:rFonts w:hint="eastAsia"/>
          <w:szCs w:val="21"/>
        </w:rPr>
        <w:t>每单位现货价格的变化</w:t>
      </w:r>
    </w:p>
    <w:p>
      <w:pPr>
        <w:ind w:firstLine="435"/>
        <w:rPr>
          <w:szCs w:val="21"/>
        </w:rPr>
      </w:pPr>
      <w:r>
        <w:rPr>
          <w:szCs w:val="21"/>
        </w:rPr>
        <w:t>Δ</w:t>
      </w:r>
      <w:r>
        <w:rPr>
          <w:rFonts w:hint="eastAsia"/>
          <w:szCs w:val="21"/>
        </w:rPr>
        <w:t xml:space="preserve">F    </w:t>
      </w:r>
      <w:r>
        <w:rPr>
          <w:szCs w:val="21"/>
        </w:rPr>
        <w:tab/>
      </w:r>
      <w:r>
        <w:rPr>
          <w:rFonts w:hint="eastAsia"/>
          <w:szCs w:val="21"/>
        </w:rPr>
        <w:t>每单位期货价格的变化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N</w:t>
      </w:r>
      <w:r>
        <w:rPr>
          <w:rFonts w:hint="eastAsia"/>
          <w:szCs w:val="21"/>
          <w:vertAlign w:val="subscript"/>
        </w:rPr>
        <w:t xml:space="preserve">F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期货的数量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N</w:t>
      </w:r>
      <w:r>
        <w:rPr>
          <w:rFonts w:hint="eastAsia"/>
          <w:szCs w:val="21"/>
          <w:vertAlign w:val="subscript"/>
        </w:rPr>
        <w:t xml:space="preserve">S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现货的数量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k    </w:t>
      </w:r>
      <w:r>
        <w:rPr>
          <w:szCs w:val="21"/>
        </w:rPr>
        <w:tab/>
      </w:r>
      <w:r>
        <w:rPr>
          <w:rFonts w:hint="eastAsia"/>
          <w:szCs w:val="21"/>
        </w:rPr>
        <w:t>合约规模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完全（简单）套期保值</w:t>
      </w:r>
    </w:p>
    <w:p>
      <w:pPr>
        <w:jc w:val="center"/>
        <w:rPr>
          <w:szCs w:val="21"/>
        </w:rPr>
      </w:pPr>
      <w:r>
        <w:rPr>
          <w:position w:val="-46"/>
        </w:rPr>
        <w:object>
          <v:shape id="_x0000_i1146" o:spt="75" type="#_x0000_t75" style="height:51.55pt;width:62.8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1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HR     </w:t>
      </w:r>
      <w:r>
        <w:rPr>
          <w:szCs w:val="21"/>
        </w:rPr>
        <w:tab/>
      </w:r>
      <w:r>
        <w:rPr>
          <w:rFonts w:hint="eastAsia"/>
          <w:szCs w:val="21"/>
        </w:rPr>
        <w:t>套期保值比率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N</w:t>
      </w:r>
      <w:r>
        <w:rPr>
          <w:rFonts w:hint="eastAsia"/>
          <w:szCs w:val="21"/>
          <w:vertAlign w:val="subscript"/>
        </w:rPr>
        <w:t xml:space="preserve">F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期货的数量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N</w:t>
      </w:r>
      <w:r>
        <w:rPr>
          <w:rFonts w:hint="eastAsia"/>
          <w:szCs w:val="21"/>
          <w:vertAlign w:val="subscript"/>
        </w:rPr>
        <w:t xml:space="preserve">S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现货的数量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k    </w:t>
      </w:r>
      <w:r>
        <w:rPr>
          <w:szCs w:val="21"/>
        </w:rPr>
        <w:tab/>
      </w:r>
      <w:r>
        <w:rPr>
          <w:rFonts w:hint="eastAsia"/>
          <w:szCs w:val="21"/>
        </w:rPr>
        <w:t>合约规模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最小方差套期保值比率</w:t>
      </w:r>
    </w:p>
    <w:p>
      <w:pPr>
        <w:pStyle w:val="6"/>
        <w:rPr>
          <w:szCs w:val="21"/>
        </w:rPr>
      </w:pPr>
      <w:r>
        <w:rPr>
          <w:rFonts w:hint="eastAsia"/>
          <w:szCs w:val="21"/>
        </w:rPr>
        <w:t>套期保值的利润</w:t>
      </w:r>
    </w:p>
    <w:p>
      <w:pPr>
        <w:rPr>
          <w:szCs w:val="21"/>
        </w:rPr>
      </w:pPr>
      <w:r>
        <w:rPr>
          <w:rFonts w:hint="eastAsia"/>
          <w:szCs w:val="21"/>
        </w:rPr>
        <w:t>对于标的资产的多头</w:t>
      </w:r>
    </w:p>
    <w:p>
      <w:pPr>
        <w:jc w:val="center"/>
        <w:rPr>
          <w:szCs w:val="21"/>
        </w:rPr>
      </w:pPr>
      <w:r>
        <w:rPr>
          <w:position w:val="-16"/>
        </w:rPr>
        <w:object>
          <v:shape id="_x0000_i1147" o:spt="75" type="#_x0000_t75" style="height:21.95pt;width:217.55pt;" o:ole="t" filled="f" o:preferrelative="t" stroked="f" coordsize="21600,21600">
            <v:path/>
            <v:fill on="f" focussize="0,0"/>
            <v:stroke on="f" joinstyle="miter"/>
            <v:imagedata r:id="rId244" cropright="-3276f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3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S</w:t>
      </w:r>
      <w:r>
        <w:rPr>
          <w:rFonts w:hint="eastAsia"/>
          <w:szCs w:val="21"/>
          <w:vertAlign w:val="subscript"/>
        </w:rPr>
        <w:t xml:space="preserve">T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期货合约到期日的现货价格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S</w:t>
      </w:r>
      <w:r>
        <w:rPr>
          <w:rFonts w:hint="eastAsia"/>
          <w:szCs w:val="21"/>
          <w:vertAlign w:val="subscript"/>
        </w:rPr>
        <w:t xml:space="preserve">t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rFonts w:hint="eastAsia"/>
          <w:szCs w:val="21"/>
        </w:rPr>
        <w:t>t时刻的现货价格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 xml:space="preserve">T, T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到期日时的期货价格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F</w:t>
      </w:r>
      <w:r>
        <w:rPr>
          <w:rFonts w:hint="eastAsia"/>
          <w:szCs w:val="21"/>
          <w:vertAlign w:val="subscript"/>
        </w:rPr>
        <w:t xml:space="preserve">t, T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到期日为T的期货在t时的价格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最小方差套期保值比率</w:t>
      </w:r>
    </w:p>
    <w:p>
      <w:pPr>
        <w:jc w:val="center"/>
        <w:rPr>
          <w:szCs w:val="21"/>
        </w:rPr>
      </w:pPr>
      <w:r>
        <w:rPr>
          <w:position w:val="-30"/>
        </w:rPr>
        <w:object>
          <v:shape id="_x0000_i1148" o:spt="75" type="#_x0000_t75" style="height:34.7pt;width:243.55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3" ShapeID="_x0000_i1148" DrawAspect="Content" ObjectID="_1468075848" r:id="rId245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HR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套期保值比率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Cov（</w:t>
      </w:r>
      <w:r>
        <w:rPr>
          <w:szCs w:val="21"/>
        </w:rPr>
        <w:t>Δ</w:t>
      </w:r>
      <w:r>
        <w:rPr>
          <w:rFonts w:hint="eastAsia"/>
          <w:szCs w:val="21"/>
        </w:rPr>
        <w:t>S，</w:t>
      </w:r>
      <w:r>
        <w:rPr>
          <w:szCs w:val="21"/>
        </w:rPr>
        <w:t>Δ</w:t>
      </w:r>
      <w:r>
        <w:rPr>
          <w:rFonts w:hint="eastAsia"/>
          <w:szCs w:val="21"/>
        </w:rPr>
        <w:t xml:space="preserve">F）   </w:t>
      </w:r>
      <w:r>
        <w:rPr>
          <w:szCs w:val="21"/>
        </w:rPr>
        <w:tab/>
      </w:r>
      <w:r>
        <w:rPr>
          <w:rFonts w:hint="eastAsia"/>
          <w:szCs w:val="21"/>
        </w:rPr>
        <w:t>现货价格变动</w:t>
      </w:r>
      <w:r>
        <w:rPr>
          <w:szCs w:val="21"/>
        </w:rPr>
        <w:t>Δ</w:t>
      </w:r>
      <w:r>
        <w:rPr>
          <w:rFonts w:hint="eastAsia"/>
          <w:szCs w:val="21"/>
        </w:rPr>
        <w:t>S和期货价格变动</w:t>
      </w:r>
      <w:r>
        <w:rPr>
          <w:szCs w:val="21"/>
        </w:rPr>
        <w:t>Δ</w:t>
      </w:r>
      <w:r>
        <w:rPr>
          <w:rFonts w:hint="eastAsia"/>
          <w:szCs w:val="21"/>
        </w:rPr>
        <w:t>F之间的协方差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Var(</w:t>
      </w:r>
      <w:r>
        <w:rPr>
          <w:szCs w:val="21"/>
        </w:rPr>
        <w:t>Δ</w:t>
      </w:r>
      <w:r>
        <w:rPr>
          <w:rFonts w:hint="eastAsia"/>
          <w:szCs w:val="21"/>
        </w:rPr>
        <w:t xml:space="preserve">F）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期货价格变动的方差</w:t>
      </w:r>
    </w:p>
    <w:p>
      <w:pPr>
        <w:ind w:firstLine="435"/>
        <w:rPr>
          <w:szCs w:val="21"/>
        </w:rPr>
      </w:pPr>
      <w:r>
        <w:rPr>
          <w:szCs w:val="21"/>
        </w:rPr>
        <w:t>ρ</w:t>
      </w:r>
      <w:r>
        <w:rPr>
          <w:szCs w:val="21"/>
          <w:vertAlign w:val="subscript"/>
        </w:rPr>
        <w:t>Δ</w:t>
      </w:r>
      <w:r>
        <w:rPr>
          <w:rFonts w:hint="eastAsia"/>
          <w:szCs w:val="21"/>
          <w:vertAlign w:val="subscript"/>
        </w:rPr>
        <w:t>S，</w:t>
      </w:r>
      <w:r>
        <w:rPr>
          <w:szCs w:val="21"/>
          <w:vertAlign w:val="subscript"/>
        </w:rPr>
        <w:t>Δ</w:t>
      </w:r>
      <w:r>
        <w:rPr>
          <w:rFonts w:hint="eastAsia"/>
          <w:szCs w:val="21"/>
          <w:vertAlign w:val="subscript"/>
        </w:rPr>
        <w:t>F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</w:rPr>
        <w:t>Δ</w:t>
      </w:r>
      <w:r>
        <w:rPr>
          <w:rFonts w:hint="eastAsia"/>
          <w:szCs w:val="21"/>
        </w:rPr>
        <w:t>S和</w:t>
      </w:r>
      <w:r>
        <w:rPr>
          <w:szCs w:val="21"/>
        </w:rPr>
        <w:t>Δ</w:t>
      </w:r>
      <w:r>
        <w:rPr>
          <w:rFonts w:hint="eastAsia"/>
          <w:szCs w:val="21"/>
        </w:rPr>
        <w:t>F之间的相关系数</w:t>
      </w:r>
    </w:p>
    <w:p>
      <w:pPr>
        <w:ind w:firstLine="435"/>
        <w:rPr>
          <w:szCs w:val="21"/>
        </w:rPr>
      </w:pPr>
      <w:r>
        <w:rPr>
          <w:szCs w:val="21"/>
        </w:rPr>
        <w:t>σ</w:t>
      </w:r>
      <w:r>
        <w:rPr>
          <w:szCs w:val="21"/>
          <w:vertAlign w:val="subscript"/>
        </w:rPr>
        <w:t>Δ</w:t>
      </w:r>
      <w:r>
        <w:rPr>
          <w:rFonts w:hint="eastAsia"/>
          <w:szCs w:val="21"/>
          <w:vertAlign w:val="subscript"/>
        </w:rPr>
        <w:t xml:space="preserve">S  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</w:rPr>
        <w:t>Δ</w:t>
      </w:r>
      <w:r>
        <w:rPr>
          <w:rFonts w:hint="eastAsia"/>
          <w:szCs w:val="21"/>
        </w:rPr>
        <w:t>S的标准差</w:t>
      </w:r>
    </w:p>
    <w:p>
      <w:pPr>
        <w:ind w:firstLine="435"/>
        <w:rPr>
          <w:szCs w:val="21"/>
        </w:rPr>
      </w:pPr>
      <w:r>
        <w:rPr>
          <w:szCs w:val="21"/>
        </w:rPr>
        <w:t>σ</w:t>
      </w:r>
      <w:r>
        <w:rPr>
          <w:szCs w:val="21"/>
          <w:vertAlign w:val="subscript"/>
        </w:rPr>
        <w:t>Δ</w:t>
      </w:r>
      <w:r>
        <w:rPr>
          <w:rFonts w:hint="eastAsia"/>
          <w:szCs w:val="21"/>
          <w:vertAlign w:val="subscript"/>
        </w:rPr>
        <w:t xml:space="preserve">F，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</w:rPr>
        <w:t>Δ</w:t>
      </w:r>
      <w:r>
        <w:rPr>
          <w:rFonts w:hint="eastAsia"/>
          <w:szCs w:val="21"/>
        </w:rPr>
        <w:t>F的标准差</w:t>
      </w:r>
    </w:p>
    <w:p>
      <w:pPr>
        <w:rPr>
          <w:szCs w:val="21"/>
        </w:rPr>
      </w:pPr>
    </w:p>
    <w:p>
      <w:pPr>
        <w:pStyle w:val="4"/>
        <w:rPr>
          <w:lang w:eastAsia="zh-CN"/>
        </w:rPr>
      </w:pPr>
      <w:bookmarkStart w:id="29" w:name="_Toc22283"/>
      <w:r>
        <w:rPr>
          <w:rFonts w:hint="eastAsia"/>
          <w:lang w:eastAsia="zh-CN"/>
        </w:rPr>
        <w:t>2.2期权</w:t>
      </w:r>
      <w:bookmarkEnd w:id="29"/>
    </w:p>
    <w:p>
      <w:pPr>
        <w:pStyle w:val="5"/>
        <w:rPr>
          <w:lang w:eastAsia="zh-CN"/>
        </w:rPr>
      </w:pPr>
      <w:r>
        <w:rPr>
          <w:rFonts w:hint="eastAsia"/>
          <w:lang w:eastAsia="zh-CN"/>
        </w:rPr>
        <w:t>2.2.1 期权价格的决定因素</w:t>
      </w:r>
    </w:p>
    <w:p>
      <w:pPr>
        <w:pStyle w:val="6"/>
      </w:pPr>
      <w:r>
        <w:rPr>
          <w:rFonts w:hint="eastAsia"/>
        </w:rPr>
        <w:t>欧式期权和美式期权的看跌-看涨平价关系</w:t>
      </w:r>
    </w:p>
    <w:p>
      <w:pPr>
        <w:jc w:val="center"/>
        <w:rPr>
          <w:szCs w:val="21"/>
        </w:rPr>
      </w:pPr>
      <w:bookmarkStart w:id="30" w:name="_Hlk119341201"/>
      <w:r>
        <w:rPr>
          <w:position w:val="-12"/>
        </w:rPr>
        <w:object>
          <v:shape id="_x0000_i1149" o:spt="75" type="#_x0000_t75" style="height:19.4pt;width:95.5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7">
            <o:LockedField>false</o:LockedField>
          </o:OLEObject>
        </w:object>
      </w:r>
    </w:p>
    <w:bookmarkEnd w:id="30"/>
    <w:p>
      <w:pPr>
        <w:jc w:val="center"/>
        <w:rPr>
          <w:szCs w:val="21"/>
        </w:rPr>
      </w:pPr>
      <w:r>
        <w:rPr>
          <w:position w:val="-12"/>
        </w:rPr>
        <w:object>
          <v:shape id="_x0000_i1150" o:spt="75" type="#_x0000_t75" style="height:18.9pt;width:171.05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9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  <w:rPr>
          <w:szCs w:val="21"/>
        </w:rPr>
      </w:pPr>
      <w:bookmarkStart w:id="31" w:name="_Hlk119341442"/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 xml:space="preserve">E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欧式看跌期权的价值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  <w:vertAlign w:val="subscript"/>
        </w:rPr>
        <w:t xml:space="preserve">E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欧式看涨期权的价值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S    </w:t>
      </w:r>
      <w:r>
        <w:rPr>
          <w:szCs w:val="21"/>
        </w:rPr>
        <w:tab/>
      </w:r>
      <w:r>
        <w:rPr>
          <w:rFonts w:hint="eastAsia"/>
          <w:szCs w:val="21"/>
        </w:rPr>
        <w:t>标的资产的现货价格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K   </w:t>
      </w:r>
      <w:r>
        <w:rPr>
          <w:szCs w:val="21"/>
        </w:rPr>
        <w:tab/>
      </w:r>
      <w:r>
        <w:rPr>
          <w:rFonts w:hint="eastAsia"/>
          <w:szCs w:val="21"/>
        </w:rPr>
        <w:t>期权的行权价格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欧拉数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r    </w:t>
      </w:r>
      <w:r>
        <w:rPr>
          <w:szCs w:val="21"/>
        </w:rPr>
        <w:tab/>
      </w:r>
      <w:r>
        <w:rPr>
          <w:rFonts w:hint="eastAsia"/>
          <w:szCs w:val="21"/>
        </w:rPr>
        <w:t>连续复利累计的无风险利率</w:t>
      </w:r>
    </w:p>
    <w:p>
      <w:pPr>
        <w:ind w:firstLine="420"/>
        <w:rPr>
          <w:szCs w:val="21"/>
        </w:rPr>
      </w:pPr>
      <w:r>
        <w:rPr>
          <w:position w:val="-6"/>
        </w:rPr>
        <w:object>
          <v:shape id="_x0000_i1151" o:spt="75" type="#_x0000_t75" style="height:11.25pt;width:9.7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1">
            <o:LockedField>false</o:LockedField>
          </o:OLEObject>
        </w:objec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rFonts w:hint="eastAsia"/>
          <w:szCs w:val="21"/>
        </w:rPr>
        <w:t>距离到期的时间</w:t>
      </w:r>
    </w:p>
    <w:bookmarkEnd w:id="31"/>
    <w:p>
      <w:pPr>
        <w:ind w:firstLine="42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  <w:vertAlign w:val="subscript"/>
        </w:rPr>
        <w:t xml:space="preserve">US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美式看涨期权的价值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 xml:space="preserve">US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美式看跌期权的价值</w:t>
      </w:r>
    </w:p>
    <w:p>
      <w:pPr>
        <w:rPr>
          <w:szCs w:val="21"/>
        </w:rPr>
      </w:pP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有分红的欧式期权的看跌-看涨平价关系</w:t>
      </w:r>
    </w:p>
    <w:p>
      <w:pPr>
        <w:jc w:val="center"/>
        <w:rPr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m:rPr/>
                <w:rPr>
                  <w:rFonts w:ascii="Cambria Math"/>
                  <w:szCs w:val="21"/>
                </w:rPr>
                <m:t>P</m:t>
              </m:r>
              <m:ctrlPr>
                <w:rPr>
                  <w:rFonts w:ascii="Cambria Math" w:hAnsi="Cambria Math"/>
                  <w:i/>
                  <w:szCs w:val="21"/>
                </w:rPr>
              </m:ctrlPr>
            </m:e>
            <m:sub>
              <m:r>
                <m:rPr/>
                <w:rPr>
                  <w:rFonts w:ascii="Cambria Math"/>
                  <w:szCs w:val="21"/>
                </w:rPr>
                <m:t>E</m:t>
              </m:r>
              <m:ctrlPr>
                <w:rPr>
                  <w:rFonts w:ascii="Cambria Math" w:hAnsi="Cambria Math"/>
                  <w:i/>
                  <w:szCs w:val="21"/>
                </w:rPr>
              </m:ctrlPr>
            </m:sub>
          </m:sSub>
          <m:r>
            <m:rPr/>
            <w:rPr>
              <w:rFonts w:ascii="Cambria Math"/>
              <w:szCs w:val="21"/>
            </w:rPr>
            <m:t>+</m:t>
          </m:r>
          <m:r>
            <m:rPr/>
            <w:rPr>
              <w:rFonts w:hint="eastAsia" w:ascii="Cambria Math"/>
              <w:szCs w:val="21"/>
            </w:rPr>
            <m:t>S</m:t>
          </m:r>
          <m:r>
            <m:rPr/>
            <w:rPr>
              <w:rFonts w:ascii="Cambria Math"/>
              <w:szCs w:val="21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m:rPr/>
                <w:rPr>
                  <w:rFonts w:ascii="Cambria Math"/>
                  <w:szCs w:val="21"/>
                </w:rPr>
                <m:t>C</m:t>
              </m:r>
              <m:ctrlPr>
                <w:rPr>
                  <w:rFonts w:ascii="Cambria Math" w:hAnsi="Cambria Math"/>
                  <w:i/>
                  <w:szCs w:val="21"/>
                </w:rPr>
              </m:ctrlPr>
            </m:e>
            <m:sub>
              <m:r>
                <m:rPr/>
                <w:rPr>
                  <w:rFonts w:ascii="Cambria Math"/>
                  <w:szCs w:val="21"/>
                </w:rPr>
                <m:t>E</m:t>
              </m:r>
              <m:ctrlPr>
                <w:rPr>
                  <w:rFonts w:ascii="Cambria Math" w:hAnsi="Cambria Math"/>
                  <w:i/>
                  <w:szCs w:val="21"/>
                </w:rPr>
              </m:ctrlPr>
            </m:sub>
          </m:sSub>
          <m:r>
            <m:rPr/>
            <w:rPr>
              <w:rFonts w:ascii="Cambria Math"/>
              <w:szCs w:val="21"/>
            </w:rPr>
            <m:t>+K</m:t>
          </m:r>
          <m:sSup>
            <m:sSupPr>
              <m:ctrlPr>
                <w:rPr>
                  <w:rFonts w:ascii="Cambria Math" w:hAnsi="Cambria Math"/>
                  <w:i/>
                  <w:szCs w:val="21"/>
                </w:rPr>
              </m:ctrlPr>
            </m:sSupPr>
            <m:e>
              <m:r>
                <m:rPr/>
                <w:rPr>
                  <w:rFonts w:ascii="Cambria Math"/>
                  <w:szCs w:val="21"/>
                </w:rPr>
                <m:t>e</m:t>
              </m:r>
              <m:ctrlPr>
                <w:rPr>
                  <w:rFonts w:ascii="Cambria Math" w:hAnsi="Cambria Math"/>
                  <w:i/>
                  <w:szCs w:val="21"/>
                </w:rPr>
              </m:ctrlPr>
            </m:e>
            <m:sup>
              <m:r>
                <m:rPr/>
                <w:rPr>
                  <w:rFonts w:ascii="Cambria Math"/>
                  <w:szCs w:val="21"/>
                </w:rPr>
                <m:t>−rτ</m:t>
              </m:r>
              <m:ctrlPr>
                <w:rPr>
                  <w:rFonts w:ascii="Cambria Math" w:hAnsi="Cambria Math"/>
                  <w:i/>
                  <w:szCs w:val="21"/>
                </w:rPr>
              </m:ctrlPr>
            </m:sup>
          </m:sSup>
          <m:r>
            <m:rPr/>
            <w:rPr>
              <w:rFonts w:ascii="Cambria Math"/>
              <w:szCs w:val="21"/>
            </w:rPr>
            <m:t>+PV(D)</m:t>
          </m:r>
        </m:oMath>
      </m:oMathPara>
    </w:p>
    <w:p>
      <w:pPr>
        <w:jc w:val="left"/>
        <w:rPr>
          <w:szCs w:val="21"/>
        </w:rPr>
      </w:pPr>
      <w:r>
        <w:rPr>
          <w:rFonts w:hint="eastAsia"/>
          <w:szCs w:val="21"/>
        </w:rPr>
        <w:t>此处，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 xml:space="preserve">E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欧式看跌期权的价值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  <w:vertAlign w:val="subscript"/>
        </w:rPr>
        <w:t xml:space="preserve">E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欧式看涨期权的价值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S    </w:t>
      </w:r>
      <w:r>
        <w:rPr>
          <w:szCs w:val="21"/>
        </w:rPr>
        <w:tab/>
      </w:r>
      <w:r>
        <w:rPr>
          <w:rFonts w:hint="eastAsia"/>
          <w:szCs w:val="21"/>
        </w:rPr>
        <w:t>标的资产的现货价格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K   </w:t>
      </w:r>
      <w:r>
        <w:rPr>
          <w:szCs w:val="21"/>
        </w:rPr>
        <w:tab/>
      </w:r>
      <w:r>
        <w:rPr>
          <w:rFonts w:hint="eastAsia"/>
          <w:szCs w:val="21"/>
        </w:rPr>
        <w:t>期权的行权价格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ab/>
      </w:r>
      <w:r>
        <w:rPr>
          <w:rFonts w:hint="eastAsia"/>
          <w:szCs w:val="21"/>
        </w:rPr>
        <w:t>欧拉数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r    </w:t>
      </w:r>
      <w:r>
        <w:rPr>
          <w:szCs w:val="21"/>
        </w:rPr>
        <w:tab/>
      </w:r>
      <w:r>
        <w:rPr>
          <w:rFonts w:hint="eastAsia"/>
          <w:szCs w:val="21"/>
        </w:rPr>
        <w:t>连续复利累计的无风险利率</w:t>
      </w:r>
    </w:p>
    <w:p>
      <w:pPr>
        <w:jc w:val="left"/>
        <w:rPr>
          <w:szCs w:val="21"/>
        </w:rPr>
      </w:pPr>
      <w:r>
        <w:rPr>
          <w:szCs w:val="21"/>
        </w:rPr>
        <w:object>
          <v:shape id="_x0000_i1152" o:spt="75" type="#_x0000_t75" style="height:11.25pt;width:9.7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3">
            <o:LockedField>false</o:LockedField>
          </o:OLEObject>
        </w:objec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rFonts w:hint="eastAsia"/>
          <w:szCs w:val="21"/>
        </w:rPr>
        <w:t>距离到期的时间</w:t>
      </w:r>
    </w:p>
    <w:p>
      <w:pPr>
        <w:jc w:val="left"/>
        <w:rPr>
          <w:szCs w:val="21"/>
        </w:rPr>
      </w:pPr>
      <w:r>
        <w:rPr>
          <w:szCs w:val="21"/>
        </w:rPr>
        <w:t xml:space="preserve">PV(D)     </w:t>
      </w:r>
      <w:r>
        <w:rPr>
          <w:rFonts w:hint="eastAsia"/>
          <w:szCs w:val="21"/>
        </w:rPr>
        <w:t>分红的折现值</w:t>
      </w:r>
    </w:p>
    <w:p>
      <w:pPr>
        <w:rPr>
          <w:szCs w:val="21"/>
        </w:rPr>
      </w:pPr>
    </w:p>
    <w:p>
      <w:pPr>
        <w:pStyle w:val="5"/>
      </w:pPr>
      <w:r>
        <w:rPr>
          <w:rFonts w:hint="eastAsia"/>
          <w:lang w:eastAsia="zh-CN"/>
        </w:rPr>
        <w:t xml:space="preserve">2.2.2 </w:t>
      </w:r>
      <w:r>
        <w:rPr>
          <w:rFonts w:hint="eastAsia"/>
        </w:rPr>
        <w:t>Black &amp; Scholes期权定价公式</w:t>
      </w:r>
    </w:p>
    <w:p>
      <w:pPr>
        <w:pStyle w:val="7"/>
        <w:rPr>
          <w:lang w:eastAsia="zh-CN"/>
        </w:rPr>
      </w:pPr>
      <w:r>
        <w:rPr>
          <w:rFonts w:hint="eastAsia"/>
          <w:lang w:eastAsia="zh-CN"/>
        </w:rPr>
        <w:t>无红利派发的欧式期权价格</w:t>
      </w:r>
    </w:p>
    <w:p>
      <w:pPr>
        <w:jc w:val="center"/>
        <w:rPr>
          <w:szCs w:val="21"/>
        </w:rPr>
      </w:pPr>
      <w:r>
        <w:rPr>
          <w:position w:val="-12"/>
        </w:rPr>
        <w:object>
          <v:shape id="_x0000_i1153" o:spt="75" type="#_x0000_t75" style="height:19.4pt;width:146.05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4">
            <o:LockedField>false</o:LockedField>
          </o:OLEObject>
        </w:object>
      </w:r>
    </w:p>
    <w:p>
      <w:pPr>
        <w:jc w:val="center"/>
        <w:rPr>
          <w:szCs w:val="21"/>
        </w:rPr>
      </w:pPr>
      <w:r>
        <w:rPr>
          <w:position w:val="-12"/>
        </w:rPr>
        <w:object>
          <v:shape id="_x0000_i1154" o:spt="75" type="#_x0000_t75" style="height:19.4pt;width:157.3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6">
            <o:LockedField>false</o:LockedField>
          </o:OLEObject>
        </w:object>
      </w:r>
    </w:p>
    <w:p>
      <w:pPr>
        <w:jc w:val="center"/>
        <w:rPr>
          <w:szCs w:val="21"/>
        </w:rPr>
      </w:pPr>
      <w:r>
        <w:rPr>
          <w:position w:val="-50"/>
        </w:rPr>
        <w:object>
          <v:shape id="_x0000_i1155" o:spt="75" type="#_x0000_t75" style="height:55.65pt;width:144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8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  <w:vertAlign w:val="subscript"/>
        </w:rPr>
        <w:t xml:space="preserve">E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欧式看涨期权的价值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欧拉数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S</w:t>
      </w:r>
      <w:r>
        <w:rPr>
          <w:rFonts w:hint="eastAsia"/>
          <w:szCs w:val="21"/>
          <w:vertAlign w:val="subscript"/>
        </w:rPr>
        <w:t>t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当前股票价格</w:t>
      </w:r>
    </w:p>
    <w:p>
      <w:pPr>
        <w:ind w:firstLine="420"/>
        <w:rPr>
          <w:szCs w:val="21"/>
        </w:rPr>
      </w:pPr>
      <w:r>
        <w:rPr>
          <w:position w:val="-6"/>
        </w:rPr>
        <w:object>
          <v:shape id="_x0000_i1156" o:spt="75" type="#_x0000_t75" style="height:11.25pt;width:9.7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0">
            <o:LockedField>false</o:LockedField>
          </o:OLEObject>
        </w:object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距离到期的时间，以年为单位计算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K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行权价格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r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连续复利累计的年化无风险利率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 xml:space="preserve">E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欧式看跌期权的价值</w:t>
      </w:r>
    </w:p>
    <w:p>
      <w:pPr>
        <w:ind w:firstLine="420"/>
        <w:rPr>
          <w:szCs w:val="21"/>
        </w:rPr>
      </w:pPr>
      <w:r>
        <w:rPr>
          <w:position w:val="-6"/>
        </w:rPr>
        <w:object>
          <v:shape id="_x0000_i1157" o:spt="75" type="#_x0000_t75" style="height:11.25pt;width:12.25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2">
            <o:LockedField>false</o:LockedField>
          </o:OLEObject>
        </w:objec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标的股票的年化波动率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N（﹒）   </w:t>
      </w:r>
      <w:r>
        <w:rPr>
          <w:szCs w:val="21"/>
        </w:rPr>
        <w:tab/>
      </w:r>
      <w:r>
        <w:rPr>
          <w:rFonts w:hint="eastAsia"/>
          <w:szCs w:val="21"/>
        </w:rPr>
        <w:t>标准正态随机变量的累计分布函数（见本章末尾的表格）</w:t>
      </w:r>
    </w:p>
    <w:p>
      <w:pPr>
        <w:rPr>
          <w:szCs w:val="21"/>
        </w:rPr>
      </w:pPr>
    </w:p>
    <w:p>
      <w:pPr>
        <w:pStyle w:val="7"/>
        <w:rPr>
          <w:lang w:eastAsia="zh-CN"/>
        </w:rPr>
      </w:pPr>
      <w:r>
        <w:rPr>
          <w:rFonts w:hint="eastAsia"/>
          <w:lang w:eastAsia="zh-CN"/>
        </w:rPr>
        <w:t>支付已知红利的股票的欧式期权</w:t>
      </w:r>
    </w:p>
    <w:p>
      <w:pPr>
        <w:jc w:val="center"/>
        <w:rPr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/>
                <w:rPr>
                  <w:rFonts w:ascii="Cambria Math"/>
                </w:rPr>
                <m:t>C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m:rPr/>
                <w:rPr>
                  <w:rFonts w:ascii="Cambria Math"/>
                </w:rPr>
                <m:t>E</m:t>
              </m:r>
              <m:ctrlPr>
                <w:rPr>
                  <w:rFonts w:ascii="Cambria Math" w:hAnsi="Cambria Math"/>
                  <w:i/>
                </w:rPr>
              </m:ctrlPr>
            </m:sub>
          </m:sSub>
          <m:r>
            <m:rPr/>
            <w:rPr>
              <w:rFonts w:asci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/>
                <w:rPr>
                  <w:rFonts w:ascii="Cambria Math"/>
                </w:rPr>
                <m:t>S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/>
                <w:rPr>
                  <w:rFonts w:ascii="Cambria Math"/>
                </w:rPr>
                <m:t>∗</m:t>
              </m:r>
              <m:ctrlPr>
                <w:rPr>
                  <w:rFonts w:ascii="Cambria Math" w:hAnsi="Cambria Math"/>
                  <w:i/>
                </w:rPr>
              </m:ctrlPr>
            </m:sup>
          </m:sSup>
          <m:r>
            <m:rPr/>
            <w:rPr>
              <w:rFonts w:hint="eastAsia" w:ascii="MS Mincho" w:hAnsi="MS Mincho" w:eastAsia="MS Mincho" w:cs="MS Mincho"/>
            </w:rPr>
            <m:t>⋅</m:t>
          </m:r>
          <m:r>
            <m:rPr/>
            <w:rPr>
              <w:rFonts w:ascii="Cambria Math"/>
            </w:rPr>
            <m:t>N(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/>
                <w:rPr>
                  <w:rFonts w:ascii="Cambria Math"/>
                </w:rPr>
                <m:t>d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m:rPr/>
                <w:rPr>
                  <w:rFonts w:asci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m:rPr/>
                <w:rPr>
                  <w:rFonts w:ascii="Cambria Math"/>
                </w:rPr>
                <m:t>∗</m:t>
              </m:r>
              <m:ctrlPr>
                <w:rPr>
                  <w:rFonts w:ascii="Cambria Math" w:hAnsi="Cambria Math"/>
                  <w:i/>
                </w:rPr>
              </m:ctrlPr>
            </m:sup>
          </m:sSubSup>
          <m:r>
            <m:rPr/>
            <w:rPr>
              <w:rFonts w:ascii="Cambria Math"/>
            </w:rPr>
            <m:t>)−K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/>
                <w:rPr>
                  <w:rFonts w:ascii="Cambria Math"/>
                </w:rPr>
                <m:t>e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/>
                <w:rPr>
                  <w:rFonts w:ascii="Cambria Math"/>
                </w:rPr>
                <m:t>−rτ</m:t>
              </m:r>
              <m:ctrlPr>
                <w:rPr>
                  <w:rFonts w:ascii="Cambria Math" w:hAnsi="Cambria Math"/>
                  <w:i/>
                </w:rPr>
              </m:ctrlPr>
            </m:sup>
          </m:sSup>
          <m:r>
            <m:rPr/>
            <w:rPr>
              <w:rFonts w:hint="eastAsia" w:ascii="MS Mincho" w:hAnsi="MS Mincho" w:eastAsia="MS Mincho" w:cs="MS Mincho"/>
            </w:rPr>
            <m:t>⋅</m:t>
          </m:r>
          <m:r>
            <m:rPr/>
            <w:rPr>
              <w:rFonts w:ascii="Cambria Math"/>
            </w:rPr>
            <m:t>N(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/>
                <w:rPr>
                  <w:rFonts w:ascii="Cambria Math"/>
                </w:rPr>
                <m:t>d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m:rPr/>
                <w:rPr>
                  <w:rFonts w:ascii="Cambria Math"/>
                </w:rPr>
                <m:t>2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m:rPr/>
                <w:rPr>
                  <w:rFonts w:ascii="Cambria Math"/>
                </w:rPr>
                <m:t>∗</m:t>
              </m:r>
              <m:ctrlPr>
                <w:rPr>
                  <w:rFonts w:ascii="Cambria Math" w:hAnsi="Cambria Math"/>
                  <w:i/>
                </w:rPr>
              </m:ctrlPr>
            </m:sup>
          </m:sSubSup>
          <m:r>
            <m:rPr/>
            <w:rPr>
              <w:rFonts w:ascii="Cambria Math"/>
            </w:rPr>
            <m:t>)</m:t>
          </m:r>
          <m:r>
            <m:rPr>
              <m:sty m:val="p"/>
            </m:rPr>
            <w:rPr>
              <w:rFonts w:ascii="Cambria Math"/>
            </w:rPr>
            <w:br w:type="textWrapping"/>
          </m:r>
        </m:oMath>
      </m:oMathPara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/>
                <w:rPr>
                  <w:rFonts w:ascii="Cambria Math"/>
                </w:rPr>
                <m:t>P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m:rPr/>
                <w:rPr>
                  <w:rFonts w:ascii="Cambria Math"/>
                </w:rPr>
                <m:t>E</m:t>
              </m:r>
              <m:ctrlPr>
                <w:rPr>
                  <w:rFonts w:ascii="Cambria Math" w:hAnsi="Cambria Math"/>
                  <w:i/>
                </w:rPr>
              </m:ctrlPr>
            </m:sub>
          </m:sSub>
          <m:r>
            <m:rPr/>
            <w:rPr>
              <w:rFonts w:ascii="Cambria Math"/>
            </w:rPr>
            <m:t>=K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/>
                <w:rPr>
                  <w:rFonts w:ascii="Cambria Math"/>
                </w:rPr>
                <m:t>e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/>
                <w:rPr>
                  <w:rFonts w:ascii="Cambria Math"/>
                </w:rPr>
                <m:t>−rτ</m:t>
              </m:r>
              <m:ctrlPr>
                <w:rPr>
                  <w:rFonts w:ascii="Cambria Math" w:hAnsi="Cambria Math"/>
                  <w:i/>
                </w:rPr>
              </m:ctrlPr>
            </m:sup>
          </m:sSup>
          <m:r>
            <m:rPr/>
            <w:rPr>
              <w:rFonts w:hint="eastAsia" w:ascii="MS Mincho" w:hAnsi="MS Mincho" w:eastAsia="MS Mincho" w:cs="MS Mincho"/>
            </w:rPr>
            <m:t>⋅</m:t>
          </m:r>
          <m:r>
            <m:rPr/>
            <w:rPr>
              <w:rFonts w:ascii="Cambria Math"/>
            </w:rPr>
            <m:t>N(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/>
                <w:rPr>
                  <w:rFonts w:ascii="Cambria Math"/>
                </w:rPr>
                <m:t>−d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m:rPr/>
                <w:rPr>
                  <w:rFonts w:ascii="Cambria Math"/>
                </w:rPr>
                <m:t>2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m:rPr/>
                <w:rPr>
                  <w:rFonts w:ascii="Cambria Math"/>
                </w:rPr>
                <m:t>∗</m:t>
              </m:r>
              <m:ctrlPr>
                <w:rPr>
                  <w:rFonts w:ascii="Cambria Math" w:hAnsi="Cambria Math"/>
                  <w:i/>
                </w:rPr>
              </m:ctrlPr>
            </m:sup>
          </m:sSubSup>
          <m:r>
            <m:rPr/>
            <w:rPr>
              <w:rFonts w:ascii="Cambria Math"/>
            </w:rPr>
            <m:t>)−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/>
                <w:rPr>
                  <w:rFonts w:ascii="Cambria Math"/>
                </w:rPr>
                <m:t>S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/>
                <w:rPr>
                  <w:rFonts w:ascii="Cambria Math"/>
                </w:rPr>
                <m:t>∗</m:t>
              </m:r>
              <m:ctrlPr>
                <w:rPr>
                  <w:rFonts w:ascii="Cambria Math" w:hAnsi="Cambria Math"/>
                  <w:i/>
                </w:rPr>
              </m:ctrlPr>
            </m:sup>
          </m:sSup>
          <m:r>
            <m:rPr/>
            <w:rPr>
              <w:rFonts w:hint="eastAsia" w:ascii="MS Mincho" w:hAnsi="MS Mincho" w:eastAsia="MS Mincho" w:cs="MS Mincho"/>
            </w:rPr>
            <m:t>⋅</m:t>
          </m:r>
          <m:r>
            <m:rPr/>
            <w:rPr>
              <w:rFonts w:ascii="Cambria Math"/>
            </w:rPr>
            <m:t>N(−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/>
                <w:rPr>
                  <w:rFonts w:ascii="Cambria Math"/>
                </w:rPr>
                <m:t>d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m:rPr/>
                <w:rPr>
                  <w:rFonts w:asci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m:rPr/>
                <w:rPr>
                  <w:rFonts w:ascii="Cambria Math"/>
                </w:rPr>
                <m:t>∗</m:t>
              </m:r>
              <m:ctrlPr>
                <w:rPr>
                  <w:rFonts w:ascii="Cambria Math" w:hAnsi="Cambria Math"/>
                  <w:i/>
                </w:rPr>
              </m:ctrlPr>
            </m:sup>
          </m:sSubSup>
          <m:r>
            <m:rPr/>
            <w:rPr>
              <w:rFonts w:ascii="Cambria Math"/>
            </w:rPr>
            <m:t>)</m:t>
          </m:r>
          <m:r>
            <m:rPr>
              <m:sty m:val="p"/>
            </m:rPr>
            <w:rPr>
              <w:rFonts w:ascii="Cambria Math"/>
            </w:rPr>
            <w:br w:type="textWrapping"/>
          </m:r>
        </m:oMath>
      </m:oMathPara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/>
                <w:rPr>
                  <w:rFonts w:ascii="Cambria Math"/>
                </w:rPr>
                <m:t>d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m:rPr/>
                <w:rPr>
                  <w:rFonts w:asci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m:rPr/>
                <w:rPr>
                  <w:rFonts w:ascii="Cambria Math"/>
                </w:rPr>
                <m:t>∗</m:t>
              </m:r>
              <m:ctrlPr>
                <w:rPr>
                  <w:rFonts w:ascii="Cambria Math" w:hAnsi="Cambria Math"/>
                  <w:i/>
                </w:rPr>
              </m:ctrlPr>
            </m:sup>
          </m:sSubSup>
          <m:r>
            <m:rPr/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/>
                    <w:rPr>
                      <w:rFonts w:ascii="Cambria Math"/>
                    </w:rPr>
                    <m:t>ln</m:t>
                  </m:r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/>
                            </w:rPr>
                            <m:t>S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/>
                            </w:rPr>
                            <m:t>∗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up>
                      </m:sSup>
                      <m:r>
                        <m:rPr/>
                        <w:rPr>
                          <w:rFonts w:ascii="Cambria Math"/>
                        </w:rPr>
                        <m:t>/K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r>
                <m:rPr/>
                <w:rPr>
                  <w:rFonts w:ascii="Cambria Math"/>
                </w:rPr>
                <m:t>+(r+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/>
                    <w:rPr>
                      <w:rFonts w:ascii="Cambria Math"/>
                    </w:rPr>
                    <m:t>σ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m:rPr/>
                    <w:rPr>
                      <w:rFonts w:asci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r>
                <m:rPr/>
                <w:rPr>
                  <w:rFonts w:ascii="Cambria Math"/>
                </w:rPr>
                <m:t>/2)τ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m:rPr/>
                <w:rPr>
                  <w:rFonts w:ascii="Cambria Math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</w:rPr>
                  </m:ctrlPr>
                </m:deg>
                <m:e>
                  <m:r>
                    <m:rPr/>
                    <w:rPr>
                      <w:rFonts w:ascii="Cambria Math"/>
                    </w:rPr>
                    <m:t>τ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rad>
              <m:ctrlPr>
                <w:rPr>
                  <w:rFonts w:ascii="Cambria Math" w:hAnsi="Cambria Math"/>
                  <w:i/>
                </w:rPr>
              </m:ctrlPr>
            </m:den>
          </m:f>
          <m:r>
            <m:rPr>
              <m:sty m:val="p"/>
            </m:rPr>
            <w:rPr>
              <w:rFonts w:ascii="Cambria Math"/>
            </w:rPr>
            <w:br w:type="textWrapping"/>
          </m:r>
        </m:oMath>
      </m:oMathPara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/>
                <w:rPr>
                  <w:rFonts w:ascii="Cambria Math"/>
                </w:rPr>
                <m:t>d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m:rPr/>
                <w:rPr>
                  <w:rFonts w:ascii="Cambria Math"/>
                </w:rPr>
                <m:t>2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m:rPr/>
                <w:rPr>
                  <w:rFonts w:ascii="Cambria Math"/>
                </w:rPr>
                <m:t>∗</m:t>
              </m:r>
              <m:ctrlPr>
                <w:rPr>
                  <w:rFonts w:ascii="Cambria Math" w:hAnsi="Cambria Math"/>
                  <w:i/>
                </w:rPr>
              </m:ctrlPr>
            </m:sup>
          </m:sSubSup>
          <m:r>
            <m:rPr/>
            <w:rPr>
              <w:rFonts w:asci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/>
                <w:rPr>
                  <w:rFonts w:ascii="Cambria Math"/>
                </w:rPr>
                <m:t>d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m:rPr/>
                <w:rPr>
                  <w:rFonts w:asci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m:rPr/>
                <w:rPr>
                  <w:rFonts w:ascii="Cambria Math"/>
                </w:rPr>
                <m:t>∗</m:t>
              </m:r>
              <m:ctrlPr>
                <w:rPr>
                  <w:rFonts w:ascii="Cambria Math" w:hAnsi="Cambria Math"/>
                  <w:i/>
                </w:rPr>
              </m:ctrlPr>
            </m:sup>
          </m:sSubSup>
          <m:r>
            <m:rPr/>
            <w:rPr>
              <w:rFonts w:ascii="Cambria Math"/>
            </w:rPr>
            <m:t>−σ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>
              <m:ctrlPr>
                <w:rPr>
                  <w:rFonts w:ascii="Cambria Math" w:hAnsi="Cambria Math"/>
                  <w:i/>
                </w:rPr>
              </m:ctrlPr>
            </m:deg>
            <m:e>
              <m:r>
                <m:rPr/>
                <w:rPr>
                  <w:rFonts w:ascii="Cambria Math"/>
                </w:rPr>
                <m:t>τ</m:t>
              </m:r>
              <m:ctrlPr>
                <w:rPr>
                  <w:rFonts w:ascii="Cambria Math" w:hAnsi="Cambria Math"/>
                  <w:i/>
                </w:rPr>
              </m:ctrlPr>
            </m:e>
          </m:rad>
          <m:r>
            <m:rPr>
              <m:sty m:val="p"/>
            </m:rPr>
            <w:rPr>
              <w:rFonts w:ascii="Cambria Math"/>
            </w:rPr>
            <w:br w:type="textWrapping"/>
          </m:r>
        </m:oMath>
      </m:oMathPara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/>
                <w:rPr>
                  <w:rFonts w:ascii="Cambria Math"/>
                </w:rPr>
                <m:t>S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/>
                <w:rPr>
                  <w:rFonts w:ascii="Cambria Math"/>
                </w:rPr>
                <m:t>∗</m:t>
              </m:r>
              <m:ctrlPr>
                <w:rPr>
                  <w:rFonts w:ascii="Cambria Math" w:hAnsi="Cambria Math"/>
                  <w:i/>
                </w:rPr>
              </m:ctrlPr>
            </m:sup>
          </m:sSup>
          <m:r>
            <m:rPr/>
            <w:rPr>
              <w:rFonts w:ascii="Cambria Math"/>
            </w:rPr>
            <m:t>=S−D</m:t>
          </m:r>
          <m:r>
            <m:rPr/>
            <w:rPr>
              <w:rFonts w:hint="eastAsia" w:ascii="MS Mincho" w:hAnsi="MS Mincho" w:eastAsia="MS Mincho" w:cs="MS Mincho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/>
                <w:rPr>
                  <w:rFonts w:ascii="Cambria Math"/>
                </w:rPr>
                <m:t>e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/>
                <w:rPr>
                  <w:rFonts w:ascii="Cambria Math"/>
                </w:rPr>
                <m:t>−r</m:t>
              </m:r>
              <m:r>
                <m:rPr/>
                <w:rPr>
                  <w:rFonts w:hint="eastAsia" w:ascii="MS Mincho" w:hAnsi="MS Mincho" w:eastAsia="MS Mincho" w:cs="MS Mincho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/>
                    <w:rPr>
                      <w:rFonts w:asci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/>
                    <w:rPr>
                      <w:rFonts w:asci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  <m:ctrlPr>
                <w:rPr>
                  <w:rFonts w:ascii="Cambria Math" w:hAnsi="Cambria Math"/>
                  <w:i/>
                </w:rPr>
              </m:ctrlPr>
            </m:sup>
          </m:sSup>
        </m:oMath>
      </m:oMathPara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  <w:vertAlign w:val="subscript"/>
        </w:rPr>
        <w:t xml:space="preserve">E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欧式看涨期权的价值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S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当前股票价格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N（﹒）   </w:t>
      </w:r>
      <w:r>
        <w:rPr>
          <w:szCs w:val="21"/>
        </w:rPr>
        <w:tab/>
      </w:r>
      <w:r>
        <w:rPr>
          <w:rFonts w:hint="eastAsia"/>
          <w:szCs w:val="21"/>
        </w:rPr>
        <w:t>累计正态分布函数（见本章末尾的表格）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K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行权价格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欧拉数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r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连续复利累计的年化无风险利率</w:t>
      </w:r>
    </w:p>
    <w:p>
      <w:pPr>
        <w:ind w:firstLine="420"/>
        <w:rPr>
          <w:szCs w:val="21"/>
        </w:rPr>
      </w:pPr>
      <w:r>
        <w:rPr>
          <w:position w:val="-6"/>
        </w:rPr>
        <w:object>
          <v:shape id="_x0000_i1158" o:spt="75" type="#_x0000_t75" style="height:11.25pt;width:9.7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4">
            <o:LockedField>false</o:LockedField>
          </o:OLEObject>
        </w:object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距离到期的时间，以年为单位计算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 xml:space="preserve">E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欧式看跌期权的价值</w:t>
      </w:r>
    </w:p>
    <w:p>
      <w:pPr>
        <w:ind w:firstLine="420"/>
        <w:rPr>
          <w:szCs w:val="21"/>
        </w:rPr>
      </w:pPr>
      <w:r>
        <w:rPr>
          <w:position w:val="-6"/>
        </w:rPr>
        <w:object>
          <v:shape id="_x0000_i1159" o:spt="75" type="#_x0000_t75" style="height:11.25pt;width:12.2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5">
            <o:LockedField>false</o:LockedField>
          </o:OLEObject>
        </w:objec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标的股票的年化波动率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  <w:vertAlign w:val="subscript"/>
        </w:rPr>
        <w:t xml:space="preserve">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分红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t</w:t>
      </w:r>
      <w:r>
        <w:rPr>
          <w:szCs w:val="21"/>
          <w:vertAlign w:val="subscript"/>
        </w:rPr>
        <w:t>1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股息支付前的剩余时间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S*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股息调整后的股价</w:t>
      </w:r>
    </w:p>
    <w:p>
      <w:pPr>
        <w:pStyle w:val="7"/>
        <w:rPr>
          <w:lang w:eastAsia="zh-CN"/>
        </w:rPr>
      </w:pPr>
    </w:p>
    <w:p>
      <w:pPr>
        <w:pStyle w:val="7"/>
        <w:rPr>
          <w:lang w:eastAsia="zh-CN"/>
        </w:rPr>
      </w:pPr>
      <w:r>
        <w:rPr>
          <w:rFonts w:hint="eastAsia"/>
          <w:lang w:eastAsia="zh-CN"/>
        </w:rPr>
        <w:t>支付未知红利的股票的欧式期权</w:t>
      </w:r>
    </w:p>
    <w:p>
      <w:pPr>
        <w:rPr>
          <w:szCs w:val="21"/>
        </w:rPr>
      </w:pPr>
      <w:r>
        <w:rPr>
          <w:rFonts w:hint="eastAsia"/>
          <w:szCs w:val="21"/>
        </w:rPr>
        <w:t>当股利未知时，普通的实践方法是假设一个稳定的分红收益率，如此则</w:t>
      </w:r>
    </w:p>
    <w:p>
      <w:pPr>
        <w:ind w:firstLine="1701"/>
      </w:pPr>
      <w:r>
        <w:rPr>
          <w:position w:val="-12"/>
        </w:rPr>
        <w:object>
          <v:shape id="_x0000_i1160" o:spt="75" type="#_x0000_t75" style="height:19.4pt;width:170.05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7">
            <o:LockedField>false</o:LockedField>
          </o:OLEObject>
        </w:object>
      </w:r>
    </w:p>
    <w:p>
      <w:pPr>
        <w:ind w:firstLine="1701"/>
      </w:pPr>
      <w:r>
        <w:rPr>
          <w:position w:val="-12"/>
        </w:rPr>
        <w:object>
          <v:shape id="_x0000_i1161" o:spt="75" type="#_x0000_t75" style="height:19.4pt;width:182.8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9">
            <o:LockedField>false</o:LockedField>
          </o:OLEObject>
        </w:object>
      </w:r>
    </w:p>
    <w:p>
      <w:pPr>
        <w:jc w:val="center"/>
        <w:rPr>
          <w:szCs w:val="21"/>
        </w:rPr>
      </w:pPr>
      <w:r>
        <w:rPr>
          <w:position w:val="-50"/>
        </w:rPr>
        <w:object>
          <v:shape id="_x0000_i1162" o:spt="75" type="#_x0000_t75" style="height:56.15pt;width:161.8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1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  <w:vertAlign w:val="subscript"/>
        </w:rPr>
        <w:t xml:space="preserve">E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欧式看涨期权的价值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S</w:t>
      </w:r>
      <w:r>
        <w:rPr>
          <w:szCs w:val="21"/>
          <w:vertAlign w:val="subscript"/>
        </w:rPr>
        <w:t>t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当前股票价格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欧拉数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y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连续分红收益率</w:t>
      </w:r>
    </w:p>
    <w:p>
      <w:pPr>
        <w:ind w:firstLine="420"/>
        <w:rPr>
          <w:szCs w:val="21"/>
        </w:rPr>
      </w:pPr>
      <w:r>
        <w:rPr>
          <w:color w:val="FF0000"/>
          <w:position w:val="-6"/>
        </w:rPr>
        <w:object>
          <v:shape id="_x0000_i1163" o:spt="75" type="#_x0000_t75" style="height:11.25pt;width:9.7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3">
            <o:LockedField>false</o:LockedField>
          </o:OLEObject>
        </w:object>
      </w:r>
      <w:r>
        <w:rPr>
          <w:rFonts w:hint="eastAsia"/>
          <w:color w:val="FF0000"/>
          <w:szCs w:val="21"/>
        </w:rPr>
        <w:t xml:space="preserve">  </w:t>
      </w:r>
      <w:r>
        <w:rPr>
          <w:color w:val="FF0000"/>
          <w:szCs w:val="21"/>
        </w:rPr>
        <w:tab/>
      </w:r>
      <w:r>
        <w:rPr>
          <w:color w:val="FF0000"/>
          <w:szCs w:val="21"/>
        </w:rPr>
        <w:tab/>
      </w:r>
      <w:r>
        <w:rPr>
          <w:color w:val="FF0000"/>
          <w:szCs w:val="21"/>
        </w:rPr>
        <w:tab/>
      </w:r>
      <w:r>
        <w:rPr>
          <w:rFonts w:hint="eastAsia"/>
          <w:szCs w:val="21"/>
        </w:rPr>
        <w:t>距离到期的时间，以年为单位计算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N（﹒）   </w:t>
      </w:r>
      <w:r>
        <w:rPr>
          <w:szCs w:val="21"/>
        </w:rPr>
        <w:tab/>
      </w:r>
      <w:r>
        <w:rPr>
          <w:rFonts w:hint="eastAsia"/>
          <w:szCs w:val="21"/>
        </w:rPr>
        <w:t>累计正态分布函数（见本章末尾的表格）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 xml:space="preserve">E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欧式看跌期权的价值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K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行权价格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r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连续复利累计的年化无风险利率</w:t>
      </w:r>
    </w:p>
    <w:p>
      <w:pPr>
        <w:ind w:firstLine="420"/>
        <w:rPr>
          <w:szCs w:val="21"/>
        </w:rPr>
      </w:pPr>
      <w:r>
        <w:rPr>
          <w:position w:val="-6"/>
        </w:rPr>
        <w:object>
          <v:shape id="_x0000_i1164" o:spt="75" type="#_x0000_t75" style="height:11.25pt;width:12.25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4">
            <o:LockedField>false</o:LockedField>
          </o:OLEObject>
        </w:objec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标的股票的年化波动率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股票指数期权</w:t>
      </w:r>
    </w:p>
    <w:p>
      <w:pPr>
        <w:pStyle w:val="60"/>
        <w:spacing w:line="240" w:lineRule="auto"/>
        <w:jc w:val="left"/>
      </w:pPr>
      <w:r>
        <w:rPr>
          <w:position w:val="-88"/>
        </w:rPr>
        <w:object>
          <v:shape id="_x0000_i1165" o:spt="75" type="#_x0000_t75" style="height:93.95pt;width:267.55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3" ShapeID="_x0000_i1165" DrawAspect="Content" ObjectID="_1468075865" r:id="rId276">
            <o:LockedField>false</o:LockedField>
          </o:OLEObject>
        </w:object>
      </w:r>
    </w:p>
    <w:p>
      <w:pPr>
        <w:jc w:val="left"/>
        <w:rPr>
          <w:position w:val="-30"/>
        </w:rPr>
      </w:pPr>
      <w:r>
        <w:rPr>
          <w:position w:val="-30"/>
        </w:rPr>
        <w:object>
          <v:shape id="_x0000_i1166" o:spt="75" type="#_x0000_t75" style="height:88.35pt;width:227.25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3" ShapeID="_x0000_i1166" DrawAspect="Content" ObjectID="_1468075866" r:id="rId278">
            <o:LockedField>false</o:LockedField>
          </o:OLEObject>
        </w:object>
      </w:r>
    </w:p>
    <w:p>
      <w:pPr>
        <w:jc w:val="left"/>
        <w:rPr>
          <w:szCs w:val="21"/>
        </w:rPr>
      </w:pPr>
      <w:r>
        <w:rPr>
          <w:position w:val="-10"/>
        </w:rPr>
        <w:object>
          <v:shape id="_x0000_i1167" o:spt="75" type="#_x0000_t75" style="height:18.9pt;width:73.55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3" ShapeID="_x0000_i1167" DrawAspect="Content" ObjectID="_1468075867" r:id="rId280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  <w:vertAlign w:val="subscript"/>
        </w:rPr>
        <w:t xml:space="preserve">E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在t日时欧式看涨期权的价值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 xml:space="preserve">E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在t日时欧式看跌期权的价值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S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在t日时股票指数价格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欧拉数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K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行权价格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r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连续复利累计的年化无风险利率</w:t>
      </w:r>
    </w:p>
    <w:p>
      <w:pPr>
        <w:ind w:firstLine="420"/>
        <w:rPr>
          <w:szCs w:val="21"/>
        </w:rPr>
      </w:pPr>
      <w:r>
        <w:rPr>
          <w:szCs w:val="21"/>
        </w:rPr>
        <w:t>σ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标的股票指数相应回报的年化波动率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  <w:vertAlign w:val="subscript"/>
        </w:rPr>
        <w:t xml:space="preserve">j，i 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根据公司j在指数中的比重，在t</w:t>
      </w:r>
      <w:r>
        <w:rPr>
          <w:rFonts w:hint="eastAsia"/>
          <w:szCs w:val="21"/>
          <w:vertAlign w:val="subscript"/>
        </w:rPr>
        <w:t xml:space="preserve"> i</w:t>
      </w:r>
      <w:r>
        <w:rPr>
          <w:rFonts w:hint="eastAsia"/>
          <w:szCs w:val="21"/>
        </w:rPr>
        <w:t>时刻该公司支付的股利</w:t>
      </w:r>
    </w:p>
    <w:p>
      <w:pPr>
        <w:ind w:firstLine="420"/>
        <w:rPr>
          <w:szCs w:val="21"/>
        </w:rPr>
      </w:pPr>
      <w:r>
        <w:rPr>
          <w:position w:val="-6"/>
        </w:rPr>
        <w:object>
          <v:shape id="_x0000_i1168" o:spt="75" type="#_x0000_t75" style="height:11.25pt;width:9.7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2">
            <o:LockedField>false</o:LockedField>
          </o:OLEObject>
        </w:object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距离到期的时间，以年为单位计算</w:t>
      </w:r>
    </w:p>
    <w:p>
      <w:pPr>
        <w:ind w:firstLine="420"/>
        <w:rPr>
          <w:szCs w:val="21"/>
        </w:rPr>
      </w:pPr>
      <w:r>
        <w:rPr>
          <w:szCs w:val="21"/>
        </w:rPr>
        <w:t>τ</w:t>
      </w:r>
      <w:r>
        <w:rPr>
          <w:rFonts w:hint="eastAsia"/>
          <w:szCs w:val="21"/>
          <w:vertAlign w:val="subscript"/>
        </w:rPr>
        <w:t>j,</w:t>
      </w:r>
      <w:r>
        <w:rPr>
          <w:szCs w:val="21"/>
          <w:vertAlign w:val="subscript"/>
        </w:rPr>
        <w:t>i</w:t>
      </w:r>
      <w:r>
        <w:rPr>
          <w:rFonts w:hint="eastAsia"/>
          <w:szCs w:val="21"/>
          <w:vertAlign w:val="subscript"/>
        </w:rPr>
        <w:t xml:space="preserve">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距离公司j在t</w:t>
      </w:r>
      <w:r>
        <w:rPr>
          <w:rFonts w:hint="eastAsia"/>
          <w:szCs w:val="21"/>
          <w:vertAlign w:val="subscript"/>
        </w:rPr>
        <w:t xml:space="preserve"> i</w:t>
      </w:r>
      <w:r>
        <w:rPr>
          <w:rFonts w:hint="eastAsia"/>
          <w:szCs w:val="21"/>
        </w:rPr>
        <w:t>时刻支付股利的时间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N（﹒）   </w:t>
      </w:r>
      <w:r>
        <w:rPr>
          <w:szCs w:val="21"/>
        </w:rPr>
        <w:tab/>
      </w:r>
      <w:r>
        <w:rPr>
          <w:rFonts w:hint="eastAsia"/>
          <w:szCs w:val="21"/>
        </w:rPr>
        <w:t>累计正态分布函数（见本章末尾的表格）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期货期权</w:t>
      </w:r>
    </w:p>
    <w:p>
      <w:pPr>
        <w:jc w:val="left"/>
      </w:pPr>
      <w:r>
        <w:rPr>
          <w:position w:val="-10"/>
        </w:rPr>
        <w:object>
          <v:shape id="_x0000_i1169" o:spt="75" type="#_x0000_t75" style="height:21.95pt;width:168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3" ShapeID="_x0000_i1169" DrawAspect="Content" ObjectID="_1468075869" r:id="rId284">
            <o:LockedField>false</o:LockedField>
          </o:OLEObject>
        </w:object>
      </w:r>
    </w:p>
    <w:p>
      <w:pPr>
        <w:spacing w:before="120"/>
        <w:jc w:val="left"/>
      </w:pPr>
      <w:r>
        <w:rPr>
          <w:position w:val="-10"/>
        </w:rPr>
        <w:object>
          <v:shape id="_x0000_i1170" o:spt="75" type="#_x0000_t75" style="height:21.95pt;width:180.25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3" ShapeID="_x0000_i1170" DrawAspect="Content" ObjectID="_1468075870" r:id="rId286">
            <o:LockedField>false</o:LockedField>
          </o:OLEObject>
        </w:object>
      </w:r>
    </w:p>
    <w:p>
      <w:pPr>
        <w:jc w:val="left"/>
        <w:rPr>
          <w:szCs w:val="21"/>
        </w:rPr>
      </w:pPr>
      <w:r>
        <w:rPr>
          <w:position w:val="-64"/>
        </w:rPr>
        <w:object>
          <v:shape id="_x0000_i1171" o:spt="75" type="#_x0000_t75" style="height:71.5pt;width:126.65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8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  <w:vertAlign w:val="subscript"/>
        </w:rPr>
        <w:t xml:space="preserve">E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欧式看涨期权的价值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欧拉数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r 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连续复利累计的年化无风险利率</w:t>
      </w:r>
    </w:p>
    <w:p>
      <w:pPr>
        <w:ind w:firstLine="420"/>
        <w:rPr>
          <w:szCs w:val="21"/>
        </w:rPr>
      </w:pPr>
      <w:r>
        <w:rPr>
          <w:position w:val="-6"/>
        </w:rPr>
        <w:object>
          <v:shape id="_x0000_i1172" o:spt="75" type="#_x0000_t75" style="height:11.25pt;width:9.7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0">
            <o:LockedField>false</o:LockedField>
          </o:OLEObject>
        </w:object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距离到期的时间，以年为单位计算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F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当前期货价格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N（﹒）   </w:t>
      </w:r>
      <w:r>
        <w:rPr>
          <w:szCs w:val="21"/>
        </w:rPr>
        <w:tab/>
      </w:r>
      <w:r>
        <w:rPr>
          <w:rFonts w:hint="eastAsia"/>
          <w:szCs w:val="21"/>
        </w:rPr>
        <w:t>累计正态分布函数（见本章末尾的表格）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K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行权价格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 xml:space="preserve">E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欧式看跌期权的价值</w:t>
      </w:r>
    </w:p>
    <w:p>
      <w:pPr>
        <w:ind w:firstLine="420"/>
        <w:rPr>
          <w:szCs w:val="21"/>
        </w:rPr>
      </w:pPr>
      <w:r>
        <w:rPr>
          <w:szCs w:val="21"/>
        </w:rPr>
        <w:t>σ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标的期货回报的年化波动率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外汇期权</w:t>
      </w:r>
    </w:p>
    <w:p>
      <w:pPr>
        <w:spacing w:before="120"/>
        <w:ind w:firstLine="1701"/>
      </w:pPr>
      <w:r>
        <w:rPr>
          <w:position w:val="-12"/>
        </w:rPr>
        <w:object>
          <v:shape id="_x0000_i1173" o:spt="75" type="#_x0000_t75" style="height:20.95pt;width:170.05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1">
            <o:LockedField>false</o:LockedField>
          </o:OLEObject>
        </w:object>
      </w:r>
    </w:p>
    <w:p>
      <w:pPr>
        <w:spacing w:before="120"/>
        <w:ind w:firstLine="1701"/>
      </w:pPr>
      <w:r>
        <w:rPr>
          <w:position w:val="-12"/>
        </w:rPr>
        <w:object>
          <v:shape id="_x0000_i1174" o:spt="75" type="#_x0000_t75" style="height:20.95pt;width:180.75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3">
            <o:LockedField>false</o:LockedField>
          </o:OLEObject>
        </w:object>
      </w:r>
    </w:p>
    <w:p>
      <w:pPr>
        <w:ind w:firstLine="1701"/>
      </w:pPr>
      <w:r>
        <w:rPr>
          <w:position w:val="-50"/>
        </w:rPr>
        <w:object>
          <v:shape id="_x0000_i1175" o:spt="75" type="#_x0000_t75" style="height:57.7pt;width:161.35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5">
            <o:LockedField>false</o:LockedField>
          </o:OLEObject>
        </w:object>
      </w:r>
    </w:p>
    <w:p>
      <w:pPr>
        <w:jc w:val="center"/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  <w:vertAlign w:val="subscript"/>
        </w:rPr>
        <w:t xml:space="preserve">E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欧式看涨期权的价值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S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当前汇率（每外币为单位的本币数）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欧拉数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* 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外币的连续复利累计的年化无风险利率</w:t>
      </w:r>
    </w:p>
    <w:p>
      <w:pPr>
        <w:ind w:firstLine="420"/>
        <w:rPr>
          <w:szCs w:val="21"/>
        </w:rPr>
      </w:pPr>
      <w:r>
        <w:rPr>
          <w:szCs w:val="21"/>
        </w:rPr>
        <w:t>τ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距离到期的时间，以年为单位计算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N（﹒）    累计正态分布函数（见本章末尾的表格）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r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连续复利累计的年化无风险利率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K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行权价格（每外币为单位的本币数）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 xml:space="preserve">E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欧式看跌期权的价值</w:t>
      </w:r>
    </w:p>
    <w:p>
      <w:pPr>
        <w:ind w:firstLine="420"/>
        <w:rPr>
          <w:szCs w:val="21"/>
        </w:rPr>
      </w:pPr>
      <w:r>
        <w:rPr>
          <w:szCs w:val="21"/>
        </w:rPr>
        <w:t>σ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标的外币的年化波动率</w:t>
      </w:r>
    </w:p>
    <w:p>
      <w:pPr>
        <w:ind w:firstLine="420"/>
        <w:rPr>
          <w:szCs w:val="21"/>
        </w:rPr>
      </w:pPr>
    </w:p>
    <w:p>
      <w:pPr>
        <w:pStyle w:val="5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.2.3</w:t>
      </w:r>
      <w:r>
        <w:rPr>
          <w:rFonts w:hint="eastAsia"/>
          <w:lang w:eastAsia="zh-CN"/>
        </w:rPr>
        <w:t>二叉树期权定价模型</w:t>
      </w:r>
    </w:p>
    <w:p>
      <w:pPr>
        <w:rPr>
          <w:szCs w:val="21"/>
        </w:rPr>
      </w:pPr>
      <w:r>
        <w:rPr>
          <w:rFonts w:hint="eastAsia"/>
          <w:szCs w:val="21"/>
        </w:rPr>
        <w:t>在一个期间开始的期权的价格等于在该期间结束时的期权价格，在实现概率为</w:t>
      </w:r>
      <w:r>
        <w:rPr>
          <w:szCs w:val="21"/>
        </w:rPr>
        <w:t>π</w:t>
      </w:r>
      <w:r>
        <w:rPr>
          <w:rFonts w:hint="eastAsia"/>
          <w:szCs w:val="21"/>
        </w:rPr>
        <w:t>时，以无风险利率折现之值</w:t>
      </w:r>
    </w:p>
    <w:p>
      <w:pPr>
        <w:jc w:val="center"/>
        <w:rPr>
          <w:szCs w:val="21"/>
        </w:rPr>
      </w:pPr>
      <w:r>
        <w:rPr>
          <w:position w:val="-106"/>
        </w:rPr>
        <w:object>
          <v:shape id="_x0000_i1176" o:spt="75" type="#_x0000_t75" style="height:131.25pt;width:140.45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7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left="420"/>
        <w:rPr>
          <w:szCs w:val="21"/>
        </w:rPr>
      </w:pPr>
      <w:r>
        <w:rPr>
          <w:rFonts w:hint="eastAsia"/>
          <w:szCs w:val="21"/>
        </w:rPr>
        <w:t xml:space="preserve">Op    </w:t>
      </w:r>
      <w:r>
        <w:rPr>
          <w:szCs w:val="21"/>
        </w:rPr>
        <w:tab/>
      </w:r>
      <w:r>
        <w:rPr>
          <w:rFonts w:hint="eastAsia"/>
          <w:szCs w:val="21"/>
        </w:rPr>
        <w:t>一个期间开始时的期权价值</w:t>
      </w:r>
    </w:p>
    <w:p>
      <w:pPr>
        <w:ind w:left="420"/>
        <w:rPr>
          <w:szCs w:val="21"/>
        </w:rPr>
      </w:pPr>
      <w:r>
        <w:rPr>
          <w:rFonts w:hint="eastAsia"/>
          <w:szCs w:val="21"/>
        </w:rPr>
        <w:t>Op</w:t>
      </w:r>
      <w:r>
        <w:rPr>
          <w:rFonts w:hint="eastAsia"/>
          <w:szCs w:val="21"/>
          <w:vertAlign w:val="subscript"/>
        </w:rPr>
        <w:t xml:space="preserve"> u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一个期间结束时的较高状态的期权价值</w:t>
      </w:r>
    </w:p>
    <w:p>
      <w:pPr>
        <w:ind w:left="420"/>
        <w:rPr>
          <w:szCs w:val="21"/>
        </w:rPr>
      </w:pPr>
      <w:r>
        <w:rPr>
          <w:rFonts w:hint="eastAsia"/>
          <w:szCs w:val="21"/>
        </w:rPr>
        <w:t>Op</w:t>
      </w:r>
      <w:r>
        <w:rPr>
          <w:rFonts w:hint="eastAsia"/>
          <w:szCs w:val="21"/>
          <w:vertAlign w:val="subscript"/>
        </w:rPr>
        <w:t xml:space="preserve">d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一个期间结束时的较低状态的期权价值</w:t>
      </w:r>
    </w:p>
    <w:p>
      <w:pPr>
        <w:ind w:left="420"/>
        <w:rPr>
          <w:szCs w:val="21"/>
        </w:rPr>
      </w:pPr>
      <w:r>
        <w:rPr>
          <w:szCs w:val="21"/>
        </w:rPr>
        <w:t>π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ab/>
      </w:r>
      <w:r>
        <w:rPr>
          <w:rFonts w:hint="eastAsia"/>
          <w:szCs w:val="21"/>
        </w:rPr>
        <w:t>风险中性概率</w:t>
      </w:r>
    </w:p>
    <w:p>
      <w:pPr>
        <w:ind w:left="420"/>
        <w:rPr>
          <w:szCs w:val="21"/>
        </w:rPr>
      </w:pPr>
      <w:r>
        <w:rPr>
          <w:rFonts w:hint="eastAsia"/>
          <w:szCs w:val="21"/>
        </w:rPr>
        <w:t xml:space="preserve">d    </w:t>
      </w:r>
      <w:r>
        <w:rPr>
          <w:szCs w:val="21"/>
        </w:rPr>
        <w:tab/>
      </w:r>
      <w:r>
        <w:rPr>
          <w:rFonts w:hint="eastAsia"/>
          <w:szCs w:val="21"/>
        </w:rPr>
        <w:t>标的资产的向下因子</w:t>
      </w:r>
    </w:p>
    <w:p>
      <w:pPr>
        <w:ind w:left="420"/>
        <w:rPr>
          <w:szCs w:val="21"/>
        </w:rPr>
      </w:pPr>
      <w:r>
        <w:rPr>
          <w:rFonts w:hint="eastAsia"/>
          <w:szCs w:val="21"/>
        </w:rPr>
        <w:t xml:space="preserve">u    </w:t>
      </w:r>
      <w:r>
        <w:rPr>
          <w:szCs w:val="21"/>
        </w:rPr>
        <w:tab/>
      </w:r>
      <w:r>
        <w:rPr>
          <w:rFonts w:hint="eastAsia"/>
          <w:szCs w:val="21"/>
        </w:rPr>
        <w:t>标的资产的向上因子</w:t>
      </w:r>
    </w:p>
    <w:p>
      <w:pPr>
        <w:ind w:left="420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欧拉数</w:t>
      </w:r>
    </w:p>
    <w:p>
      <w:pPr>
        <w:ind w:left="420"/>
        <w:rPr>
          <w:szCs w:val="21"/>
        </w:rPr>
      </w:pPr>
      <w:r>
        <w:rPr>
          <w:szCs w:val="21"/>
        </w:rPr>
        <w:t>σ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ab/>
      </w:r>
      <w:r>
        <w:rPr>
          <w:rFonts w:hint="eastAsia"/>
          <w:szCs w:val="21"/>
        </w:rPr>
        <w:t>标的资产回报的波动率</w:t>
      </w:r>
    </w:p>
    <w:p>
      <w:pPr>
        <w:ind w:left="420"/>
        <w:rPr>
          <w:szCs w:val="21"/>
        </w:rPr>
      </w:pPr>
      <w:r>
        <w:rPr>
          <w:szCs w:val="21"/>
        </w:rPr>
        <w:t>τ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ab/>
      </w:r>
      <w:r>
        <w:rPr>
          <w:rFonts w:hint="eastAsia"/>
          <w:szCs w:val="21"/>
        </w:rPr>
        <w:t>距离到期的时间</w:t>
      </w:r>
    </w:p>
    <w:p>
      <w:pPr>
        <w:ind w:left="420"/>
        <w:rPr>
          <w:szCs w:val="21"/>
        </w:rPr>
      </w:pPr>
      <w:r>
        <w:rPr>
          <w:rFonts w:hint="eastAsia"/>
          <w:szCs w:val="21"/>
        </w:rPr>
        <w:t xml:space="preserve">n    </w:t>
      </w:r>
      <w:r>
        <w:rPr>
          <w:szCs w:val="21"/>
        </w:rPr>
        <w:tab/>
      </w:r>
      <w:r>
        <w:rPr>
          <w:rFonts w:hint="eastAsia"/>
          <w:szCs w:val="21"/>
        </w:rPr>
        <w:t>在</w:t>
      </w:r>
      <w:r>
        <w:rPr>
          <w:szCs w:val="21"/>
        </w:rPr>
        <w:t>τ</w:t>
      </w:r>
      <w:r>
        <w:rPr>
          <w:rFonts w:hint="eastAsia"/>
          <w:szCs w:val="21"/>
        </w:rPr>
        <w:t>时期内时段的个数</w:t>
      </w:r>
    </w:p>
    <w:p>
      <w:pPr>
        <w:ind w:left="420"/>
        <w:rPr>
          <w:szCs w:val="21"/>
        </w:rPr>
      </w:pPr>
      <w:r>
        <w:rPr>
          <w:szCs w:val="21"/>
        </w:rPr>
        <w:t>r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ab/>
      </w:r>
      <w:r>
        <w:rPr>
          <w:rFonts w:hint="eastAsia"/>
          <w:szCs w:val="21"/>
        </w:rPr>
        <w:t>一个期间的单利无风险利率</w:t>
      </w:r>
    </w:p>
    <w:p>
      <w:pPr>
        <w:rPr>
          <w:szCs w:val="21"/>
        </w:rPr>
      </w:pPr>
    </w:p>
    <w:p>
      <w:pPr>
        <w:pStyle w:val="5"/>
        <w:rPr>
          <w:lang w:eastAsia="zh-CN"/>
        </w:rPr>
      </w:pPr>
      <w:r>
        <w:rPr>
          <w:rFonts w:hint="eastAsia"/>
          <w:lang w:eastAsia="zh-CN"/>
        </w:rPr>
        <w:t>2.2.</w:t>
      </w:r>
      <w:r>
        <w:rPr>
          <w:lang w:eastAsia="zh-CN"/>
        </w:rPr>
        <w:t>4</w:t>
      </w:r>
      <w:r>
        <w:rPr>
          <w:rFonts w:hint="eastAsia"/>
          <w:lang w:eastAsia="zh-CN"/>
        </w:rPr>
        <w:t xml:space="preserve">  期权费的敏感性分析</w:t>
      </w:r>
    </w:p>
    <w:p>
      <w:pPr>
        <w:pStyle w:val="6"/>
      </w:pPr>
      <w:r>
        <w:rPr>
          <w:rFonts w:hint="eastAsia"/>
        </w:rPr>
        <w:t>标的资产的价格(德尔塔(</w:t>
      </w:r>
      <w:r>
        <w:t>Δ</w:t>
      </w:r>
      <w:r>
        <w:rPr>
          <w:rFonts w:hint="eastAsia"/>
        </w:rPr>
        <w:t>)和伽玛(</w:t>
      </w:r>
      <w:r>
        <w:t>Γ</w:t>
      </w:r>
      <w:r>
        <w:rPr>
          <w:rFonts w:hint="eastAsia"/>
        </w:rPr>
        <w:t>))</w:t>
      </w:r>
    </w:p>
    <w:p>
      <w:r>
        <w:rPr>
          <w:rFonts w:hint="eastAsia"/>
        </w:rPr>
        <w:t>对于德尔塔(</w:t>
      </w:r>
      <w:r>
        <w:t>Δ</w:t>
      </w:r>
      <w:r>
        <w:rPr>
          <w:rFonts w:hint="eastAsia"/>
        </w:rPr>
        <w:t>)有：</w:t>
      </w:r>
    </w:p>
    <w:p>
      <w:pPr>
        <w:ind w:firstLine="1701"/>
        <w:jc w:val="center"/>
      </w:pPr>
      <w:r>
        <w:rPr>
          <w:position w:val="-24"/>
        </w:rPr>
        <w:object>
          <v:shape id="_x0000_i1177" o:spt="75" type="#_x0000_t75" style="height:31.65pt;width:102.65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9">
            <o:LockedField>false</o:LockedField>
          </o:OLEObject>
        </w:object>
      </w:r>
    </w:p>
    <w:p>
      <w:pPr>
        <w:ind w:firstLine="1701"/>
        <w:jc w:val="center"/>
        <w:rPr>
          <w:position w:val="-24"/>
        </w:rPr>
      </w:pPr>
      <w:r>
        <w:rPr>
          <w:position w:val="-24"/>
        </w:rPr>
        <w:object>
          <v:shape id="_x0000_i1178" o:spt="75" type="#_x0000_t75" style="height:31.65pt;width:116.45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1">
            <o:LockedField>false</o:LockedField>
          </o:OLEObject>
        </w:object>
      </w:r>
    </w:p>
    <w:p>
      <w:r>
        <w:rPr>
          <w:rFonts w:hint="eastAsia"/>
        </w:rPr>
        <w:t>对于伽玛(</w:t>
      </w:r>
      <w:r>
        <w:t>Γ</w:t>
      </w:r>
      <w:r>
        <w:rPr>
          <w:rFonts w:hint="eastAsia"/>
        </w:rPr>
        <w:t>)有：</w:t>
      </w:r>
    </w:p>
    <w:p>
      <w:pPr>
        <w:ind w:firstLine="1701"/>
        <w:jc w:val="center"/>
      </w:pPr>
      <w:r>
        <w:rPr>
          <w:position w:val="-64"/>
          <w:sz w:val="20"/>
        </w:rPr>
        <w:object>
          <v:shape id="_x0000_i1179" o:spt="75" type="#_x0000_t75" style="height:70.45pt;width:244.6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3">
            <o:LockedField>false</o:LockedField>
          </o:OLEObject>
        </w:object>
      </w:r>
    </w:p>
    <w:p>
      <w:pPr>
        <w:jc w:val="center"/>
        <w:rPr>
          <w:szCs w:val="21"/>
        </w:rPr>
      </w:pPr>
      <w:r>
        <w:rPr>
          <w:position w:val="-28"/>
        </w:rPr>
        <w:object>
          <v:shape id="_x0000_i1180" o:spt="75" type="#_x0000_t75" style="height:36.25pt;width:137.85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3" ShapeID="_x0000_i1180" DrawAspect="Content" ObjectID="_1468075880" r:id="rId305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C 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看涨期权的价值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S 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当前标的资产价格</w:t>
      </w:r>
    </w:p>
    <w:p>
      <w:pPr>
        <w:ind w:firstLine="420"/>
        <w:rPr>
          <w:szCs w:val="21"/>
        </w:rPr>
      </w:pPr>
      <w:r>
        <w:rPr>
          <w:szCs w:val="21"/>
        </w:rPr>
        <w:t>τ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距离到期的时间，以年为单位计算</w:t>
      </w:r>
    </w:p>
    <w:p>
      <w:pPr>
        <w:ind w:firstLine="420"/>
        <w:rPr>
          <w:szCs w:val="21"/>
        </w:rPr>
      </w:pPr>
      <w:r>
        <w:rPr>
          <w:szCs w:val="21"/>
        </w:rPr>
        <w:t>σ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标的资产回报率的年化波动率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P 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看跌期权的价值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r  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连续复利累计的年化无风险利率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K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行权价格（每外币为单位的本币数）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N（.）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累计正态分布函数（见本章末尾的表格）</w:t>
      </w:r>
    </w:p>
    <w:p>
      <w:pPr>
        <w:ind w:firstLine="420" w:firstLineChars="200"/>
        <w:rPr>
          <w:szCs w:val="21"/>
        </w:rPr>
      </w:pPr>
      <w:r>
        <w:rPr>
          <w:position w:val="-10"/>
        </w:rPr>
        <w:object>
          <v:shape id="_x0000_i1181" o:spt="75" type="#_x0000_t75" style="height:15.85pt;width:27.05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7">
            <o:LockedField>false</o:LockedField>
          </o:OLEObject>
        </w:object>
      </w:r>
      <w:r>
        <w:rPr>
          <w:rFonts w:hint="eastAsia"/>
          <w:szCs w:val="21"/>
        </w:rPr>
        <w:t xml:space="preserve">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概率密度函数</w:t>
      </w:r>
    </w:p>
    <w:p>
      <w:pPr>
        <w:jc w:val="center"/>
        <w:rPr>
          <w:szCs w:val="21"/>
        </w:rPr>
      </w:pPr>
      <w:r>
        <w:rPr>
          <w:position w:val="-28"/>
        </w:rPr>
        <w:object>
          <v:shape id="_x0000_i1182" o:spt="75" type="#_x0000_t75" style="height:37.3pt;width:88.35pt;" o:ole="t" filled="f" o:preferrelative="t" stroked="f" coordsize="21600,21600">
            <v:path/>
            <v:fill on="f" focussize="0,0"/>
            <v:stroke on="f" joinstyle="miter"/>
            <v:imagedata r:id="rId310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9">
            <o:LockedField>false</o:LockedField>
          </o:OLEObject>
        </w:objec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期权对当前价格的杠杆系数或敏感性（lambda，也被叫做欧美伽，</w:t>
      </w:r>
      <w:r>
        <w:t>Ω</w:t>
      </w:r>
      <w:r>
        <w:rPr>
          <w:rFonts w:hint="eastAsia"/>
        </w:rPr>
        <w:t>）</w:t>
      </w:r>
    </w:p>
    <w:p>
      <w:pPr>
        <w:jc w:val="center"/>
        <w:rPr>
          <w:szCs w:val="21"/>
        </w:rPr>
      </w:pPr>
      <w:r>
        <w:rPr>
          <w:position w:val="-54"/>
          <w:sz w:val="20"/>
        </w:rPr>
        <w:object>
          <v:shape id="_x0000_i1183" o:spt="75" type="#_x0000_t75" style="height:63.85pt;width:44.95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1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position w:val="-4"/>
        </w:rPr>
        <w:object>
          <v:shape id="_x0000_i1184" o:spt="75" type="#_x0000_t75" style="height:12.75pt;width:12.25pt;" o:ole="t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3">
            <o:LockedField>false</o:LockedField>
          </o:OLEObject>
        </w:object>
      </w:r>
      <w:r>
        <w:rPr>
          <w:rFonts w:hint="eastAsia"/>
          <w:szCs w:val="21"/>
          <w:vertAlign w:val="subscript"/>
        </w:rPr>
        <w:t xml:space="preserve">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期权的敏感性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Op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rFonts w:hint="eastAsia"/>
          <w:szCs w:val="21"/>
        </w:rPr>
        <w:t>期权的价值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S    </w:t>
      </w:r>
      <w:r>
        <w:rPr>
          <w:szCs w:val="21"/>
        </w:rPr>
        <w:tab/>
      </w:r>
      <w:r>
        <w:rPr>
          <w:rFonts w:hint="eastAsia"/>
          <w:szCs w:val="21"/>
        </w:rPr>
        <w:t>标的资产当前价格</w:t>
      </w:r>
    </w:p>
    <w:p>
      <w:pPr>
        <w:ind w:firstLine="435"/>
        <w:rPr>
          <w:color w:val="FF0000"/>
          <w:szCs w:val="21"/>
        </w:rPr>
      </w:pPr>
    </w:p>
    <w:p>
      <w:pPr>
        <w:pStyle w:val="6"/>
      </w:pPr>
      <w:r>
        <w:rPr>
          <w:rFonts w:hint="eastAsia"/>
        </w:rPr>
        <w:t>距到期的时间（西塔，</w:t>
      </w:r>
      <w:r>
        <w:t>θ</w:t>
      </w:r>
      <w:r>
        <w:rPr>
          <w:rFonts w:hint="eastAsia"/>
        </w:rPr>
        <w:t>）</w:t>
      </w:r>
    </w:p>
    <w:p>
      <w:pPr>
        <w:pStyle w:val="60"/>
        <w:spacing w:before="0" w:after="0" w:line="240" w:lineRule="auto"/>
        <w:ind w:firstLine="1701"/>
        <w:jc w:val="center"/>
      </w:pPr>
      <w:r>
        <w:rPr>
          <w:position w:val="-62"/>
          <w:sz w:val="20"/>
        </w:rPr>
        <w:object>
          <v:shape id="_x0000_i1185" o:spt="75" type="#_x0000_t75" style="height:67.4pt;width:237.95pt;" o:ole="t" filled="t" o:preferrelative="t" stroked="f" coordsize="21600,21600">
            <v:path/>
            <v:fill on="t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5">
            <o:LockedField>false</o:LockedField>
          </o:OLEObject>
        </w:object>
      </w:r>
    </w:p>
    <w:p>
      <w:pPr>
        <w:jc w:val="center"/>
        <w:rPr>
          <w:szCs w:val="21"/>
        </w:rPr>
      </w:pPr>
      <w:r>
        <w:rPr>
          <w:position w:val="-50"/>
        </w:rPr>
        <w:object>
          <v:shape id="_x0000_i1186" o:spt="75" type="#_x0000_t75" style="height:55.65pt;width:140.95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7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C  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看涨期权的价值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S  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当前标的资产价格</w:t>
      </w:r>
    </w:p>
    <w:p>
      <w:pPr>
        <w:ind w:firstLine="420"/>
        <w:rPr>
          <w:szCs w:val="21"/>
        </w:rPr>
      </w:pPr>
      <w:r>
        <w:rPr>
          <w:szCs w:val="21"/>
        </w:rPr>
        <w:t>σ</w:t>
      </w:r>
      <w:r>
        <w:rPr>
          <w:rFonts w:hint="eastAsia"/>
          <w:szCs w:val="21"/>
        </w:rPr>
        <w:t xml:space="preserve">       </w:t>
      </w:r>
      <w:r>
        <w:rPr>
          <w:szCs w:val="21"/>
        </w:rPr>
        <w:tab/>
      </w:r>
      <w:r>
        <w:rPr>
          <w:rFonts w:hint="eastAsia"/>
          <w:szCs w:val="21"/>
        </w:rPr>
        <w:t>标的资产回报率的年化波动率</w:t>
      </w:r>
    </w:p>
    <w:p>
      <w:pPr>
        <w:ind w:firstLine="420"/>
        <w:rPr>
          <w:szCs w:val="21"/>
        </w:rPr>
      </w:pPr>
      <w:r>
        <w:rPr>
          <w:szCs w:val="21"/>
        </w:rPr>
        <w:t>τ</w:t>
      </w:r>
      <w:r>
        <w:rPr>
          <w:rFonts w:hint="eastAsia"/>
          <w:szCs w:val="21"/>
        </w:rPr>
        <w:t xml:space="preserve">   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距离到期的时间，以年为单位计算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K  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行权价格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欧拉数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r        </w:t>
      </w:r>
      <w:r>
        <w:rPr>
          <w:szCs w:val="21"/>
        </w:rPr>
        <w:tab/>
      </w:r>
      <w:r>
        <w:rPr>
          <w:rFonts w:hint="eastAsia"/>
          <w:szCs w:val="21"/>
        </w:rPr>
        <w:t>连续复利累计的年化无风险利率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P  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看跌期权的价值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N（.）   </w:t>
      </w:r>
      <w:r>
        <w:rPr>
          <w:szCs w:val="21"/>
        </w:rPr>
        <w:tab/>
      </w:r>
      <w:r>
        <w:rPr>
          <w:rFonts w:hint="eastAsia"/>
          <w:szCs w:val="21"/>
        </w:rPr>
        <w:t>累计正态分布函数（见本章末尾的表格）</w:t>
      </w:r>
    </w:p>
    <w:p>
      <w:pPr>
        <w:ind w:firstLine="420" w:firstLineChars="200"/>
        <w:rPr>
          <w:szCs w:val="21"/>
        </w:rPr>
      </w:pPr>
      <w:r>
        <w:rPr>
          <w:position w:val="-10"/>
        </w:rPr>
        <w:object>
          <v:shape id="_x0000_i1187" o:spt="75" type="#_x0000_t75" style="height:15.85pt;width:27.05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9">
            <o:LockedField>false</o:LockedField>
          </o:OLEObject>
        </w:object>
      </w:r>
      <w:r>
        <w:rPr>
          <w:rFonts w:hint="eastAsia"/>
          <w:szCs w:val="21"/>
        </w:rPr>
        <w:t xml:space="preserve">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概率密度函数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利率</w:t>
      </w:r>
      <w:r>
        <w:t xml:space="preserve"> (</w:t>
      </w:r>
      <w:r>
        <w:rPr>
          <w:rFonts w:hint="eastAsia"/>
        </w:rPr>
        <w:t>柔</w:t>
      </w:r>
      <w:r>
        <w:t xml:space="preserve">, </w:t>
      </w:r>
      <w:r>
        <w:drawing>
          <wp:inline distT="0" distB="0" distL="0" distR="0">
            <wp:extent cx="133350" cy="161925"/>
            <wp:effectExtent l="0" t="0" r="0" b="0"/>
            <wp:docPr id="165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43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</w:t>
      </w:r>
    </w:p>
    <w:p>
      <w:pPr>
        <w:jc w:val="center"/>
      </w:pPr>
      <w:r>
        <w:rPr>
          <w:position w:val="-58"/>
          <w:sz w:val="20"/>
        </w:rPr>
        <w:object>
          <v:shape id="_x0000_i1188" o:spt="75" type="#_x0000_t75" style="height:63.85pt;width:153.7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1">
            <o:LockedField>false</o:LockedField>
          </o:OLEObject>
        </w:object>
      </w:r>
    </w:p>
    <w:p>
      <w:pPr>
        <w:jc w:val="center"/>
      </w:pPr>
      <w:r>
        <w:rPr>
          <w:position w:val="-28"/>
        </w:rPr>
        <w:object>
          <v:shape id="_x0000_i1189" o:spt="75" type="#_x0000_t75" style="height:36.25pt;width:149.1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3" ShapeID="_x0000_i1189" DrawAspect="Content" ObjectID="_1468075889" r:id="rId323">
            <o:LockedField>false</o:LockedField>
          </o:OLEObject>
        </w:object>
      </w:r>
    </w:p>
    <w:p>
      <w:pPr>
        <w:pStyle w:val="59"/>
        <w:spacing w:before="0" w:after="0"/>
        <w:rPr>
          <w:rFonts w:ascii="Times" w:hAnsi="Times"/>
          <w:lang w:val="en-US" w:eastAsia="zh-CN"/>
        </w:rPr>
      </w:pPr>
      <w:r>
        <w:rPr>
          <w:rFonts w:hint="eastAsia" w:ascii="Times" w:hAnsi="Times"/>
          <w:lang w:val="en-US" w:eastAsia="zh-CN"/>
        </w:rPr>
        <w:t>此处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C     </w:t>
      </w:r>
      <w:r>
        <w:rPr>
          <w:szCs w:val="21"/>
        </w:rPr>
        <w:tab/>
      </w:r>
      <w:r>
        <w:rPr>
          <w:rFonts w:hint="eastAsia"/>
          <w:szCs w:val="21"/>
        </w:rPr>
        <w:t>看涨期权的价值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r      </w:t>
      </w:r>
      <w:r>
        <w:rPr>
          <w:szCs w:val="21"/>
        </w:rPr>
        <w:tab/>
      </w:r>
      <w:r>
        <w:rPr>
          <w:rFonts w:hint="eastAsia"/>
          <w:szCs w:val="21"/>
        </w:rPr>
        <w:t>连续复利累计的年化无风险利率</w:t>
      </w:r>
    </w:p>
    <w:p>
      <w:pPr>
        <w:ind w:firstLine="420"/>
        <w:rPr>
          <w:szCs w:val="21"/>
        </w:rPr>
      </w:pPr>
      <w:r>
        <w:rPr>
          <w:szCs w:val="21"/>
        </w:rPr>
        <w:t>τ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ab/>
      </w:r>
      <w:r>
        <w:rPr>
          <w:rFonts w:hint="eastAsia"/>
          <w:szCs w:val="21"/>
        </w:rPr>
        <w:t>距离到期的时间，以年为单位计算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欧拉数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K     </w:t>
      </w:r>
      <w:r>
        <w:rPr>
          <w:szCs w:val="21"/>
        </w:rPr>
        <w:tab/>
      </w:r>
      <w:r>
        <w:rPr>
          <w:rFonts w:hint="eastAsia"/>
          <w:szCs w:val="21"/>
        </w:rPr>
        <w:t>行权价格</w:t>
      </w:r>
    </w:p>
    <w:p>
      <w:pPr>
        <w:ind w:firstLine="420" w:firstLineChars="200"/>
        <w:rPr>
          <w:sz w:val="22"/>
        </w:rPr>
      </w:pPr>
      <w:r>
        <w:rPr>
          <w:rFonts w:hint="eastAsia"/>
          <w:szCs w:val="21"/>
        </w:rPr>
        <w:t xml:space="preserve">N（.） </w:t>
      </w:r>
      <w:r>
        <w:rPr>
          <w:szCs w:val="21"/>
        </w:rPr>
        <w:tab/>
      </w:r>
      <w:r>
        <w:rPr>
          <w:rFonts w:hint="eastAsia"/>
          <w:szCs w:val="21"/>
        </w:rPr>
        <w:t>累计正态分布函数（见本章末尾的表格）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P     </w:t>
      </w:r>
      <w:r>
        <w:rPr>
          <w:szCs w:val="21"/>
        </w:rPr>
        <w:tab/>
      </w:r>
      <w:r>
        <w:rPr>
          <w:rFonts w:hint="eastAsia"/>
          <w:szCs w:val="21"/>
        </w:rPr>
        <w:t>看跌期权的价值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S     </w:t>
      </w:r>
      <w:r>
        <w:rPr>
          <w:szCs w:val="21"/>
        </w:rPr>
        <w:tab/>
      </w:r>
      <w:r>
        <w:rPr>
          <w:rFonts w:hint="eastAsia"/>
          <w:szCs w:val="21"/>
        </w:rPr>
        <w:t>当前标的资产价格</w:t>
      </w:r>
    </w:p>
    <w:p>
      <w:pPr>
        <w:ind w:firstLine="420"/>
        <w:rPr>
          <w:szCs w:val="21"/>
        </w:rPr>
      </w:pPr>
      <w:r>
        <w:rPr>
          <w:szCs w:val="21"/>
        </w:rPr>
        <w:t>σ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ab/>
      </w:r>
      <w:r>
        <w:rPr>
          <w:rFonts w:hint="eastAsia"/>
          <w:szCs w:val="21"/>
        </w:rPr>
        <w:t>标的资产回报率的年化波动率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股票回报率的波动率（维伽，</w:t>
      </w:r>
      <w:r>
        <w:t>υ</w:t>
      </w:r>
      <w:r>
        <w:rPr>
          <w:rFonts w:hint="eastAsia"/>
        </w:rPr>
        <w:t>）</w:t>
      </w:r>
    </w:p>
    <w:p>
      <w:pPr>
        <w:pStyle w:val="60"/>
        <w:jc w:val="center"/>
      </w:pPr>
      <w:r>
        <w:rPr>
          <w:position w:val="-58"/>
        </w:rPr>
        <w:object>
          <v:shape id="_x0000_i1190" o:spt="75" type="#_x0000_t75" style="height:64.35pt;width:115.4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5">
            <o:LockedField>false</o:LockedField>
          </o:OLEObject>
        </w:object>
      </w:r>
    </w:p>
    <w:p>
      <w:pPr>
        <w:jc w:val="center"/>
        <w:rPr>
          <w:szCs w:val="21"/>
        </w:rPr>
      </w:pPr>
      <w:r>
        <w:rPr>
          <w:position w:val="-28"/>
        </w:rPr>
        <w:object>
          <v:shape id="_x0000_i1191" o:spt="75" type="#_x0000_t75" style="height:36.25pt;width:137.85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3" ShapeID="_x0000_i1191" DrawAspect="Content" ObjectID="_1468075891" r:id="rId327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C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看涨期权的价值</w:t>
      </w:r>
    </w:p>
    <w:p>
      <w:pPr>
        <w:ind w:firstLine="420"/>
        <w:rPr>
          <w:szCs w:val="21"/>
        </w:rPr>
      </w:pPr>
      <w:r>
        <w:rPr>
          <w:szCs w:val="21"/>
        </w:rPr>
        <w:t>σ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标的资产回报率的年化波动率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S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当前标的资产价格</w:t>
      </w:r>
    </w:p>
    <w:p>
      <w:pPr>
        <w:ind w:firstLine="420"/>
        <w:rPr>
          <w:szCs w:val="21"/>
        </w:rPr>
      </w:pPr>
      <w:r>
        <w:rPr>
          <w:szCs w:val="21"/>
        </w:rPr>
        <w:t>τ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距离到期的时间，以年为单位计算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K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行权价格</w:t>
      </w:r>
    </w:p>
    <w:p>
      <w:pPr>
        <w:ind w:firstLine="420" w:firstLineChars="200"/>
        <w:rPr>
          <w:szCs w:val="21"/>
        </w:rPr>
      </w:pPr>
      <w:r>
        <w:rPr>
          <w:position w:val="-10"/>
        </w:rPr>
        <w:object>
          <v:shape id="_x0000_i1192" o:spt="75" type="#_x0000_t75" style="height:15.85pt;width:27.05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8">
            <o:LockedField>false</o:LockedField>
          </o:OLEObject>
        </w:object>
      </w:r>
      <w:r>
        <w:rPr>
          <w:rFonts w:hint="eastAsia"/>
          <w:szCs w:val="21"/>
        </w:rPr>
        <w:t xml:space="preserve">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概率密度函数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P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看跌期权的价值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r 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连续复利累计的年化无风险利率</w:t>
      </w:r>
    </w:p>
    <w:p>
      <w:pPr>
        <w:ind w:firstLine="420"/>
        <w:rPr>
          <w:szCs w:val="21"/>
        </w:rPr>
      </w:pPr>
    </w:p>
    <w:p>
      <w:pPr>
        <w:pStyle w:val="4"/>
        <w:rPr>
          <w:lang w:eastAsia="zh-CN"/>
        </w:rPr>
      </w:pPr>
      <w:bookmarkStart w:id="32" w:name="_Toc31974"/>
      <w:r>
        <w:rPr>
          <w:rFonts w:hint="eastAsia"/>
          <w:lang w:eastAsia="zh-CN"/>
        </w:rPr>
        <w:t>2.3标准正态分布: CDF 表</w:t>
      </w:r>
      <w:bookmarkEnd w:id="32"/>
    </w:p>
    <w:p>
      <w:pPr>
        <w:rPr>
          <w:szCs w:val="21"/>
        </w:rPr>
      </w:pPr>
      <w:r>
        <w:rPr>
          <w:rFonts w:hint="eastAsia"/>
          <w:szCs w:val="21"/>
        </w:rPr>
        <w:t>数字化地定义函数N(x): 一个标准正态随机变量小于x的概率。</w:t>
      </w:r>
    </w:p>
    <w:p>
      <w:pPr>
        <w:rPr>
          <w:szCs w:val="21"/>
        </w:rPr>
      </w:pPr>
      <w:r>
        <w:rPr>
          <w:rFonts w:hint="eastAsia"/>
          <w:szCs w:val="21"/>
          <w:u w:val="single"/>
        </w:rPr>
        <w:t>N(x)的特征</w:t>
      </w:r>
      <w:r>
        <w:rPr>
          <w:rFonts w:hint="eastAsia"/>
          <w:szCs w:val="21"/>
        </w:rPr>
        <w:t>：N(-x)=1- N(x)</w:t>
      </w:r>
    </w:p>
    <w:tbl>
      <w:tblPr>
        <w:tblStyle w:val="36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6"/>
        <w:gridCol w:w="324"/>
        <w:gridCol w:w="705"/>
        <w:gridCol w:w="705"/>
        <w:gridCol w:w="705"/>
        <w:gridCol w:w="705"/>
        <w:gridCol w:w="705"/>
        <w:gridCol w:w="705"/>
        <w:gridCol w:w="705"/>
        <w:gridCol w:w="649"/>
        <w:gridCol w:w="733"/>
        <w:gridCol w:w="733"/>
        <w:gridCol w:w="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705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05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0.01</w:t>
            </w:r>
          </w:p>
        </w:tc>
        <w:tc>
          <w:tcPr>
            <w:tcW w:w="705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0.02</w:t>
            </w:r>
          </w:p>
        </w:tc>
        <w:tc>
          <w:tcPr>
            <w:tcW w:w="705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0.03</w:t>
            </w:r>
          </w:p>
        </w:tc>
        <w:tc>
          <w:tcPr>
            <w:tcW w:w="705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0.04</w:t>
            </w:r>
          </w:p>
        </w:tc>
        <w:tc>
          <w:tcPr>
            <w:tcW w:w="7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0.05</w:t>
            </w:r>
          </w:p>
        </w:tc>
        <w:tc>
          <w:tcPr>
            <w:tcW w:w="705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0.06</w:t>
            </w:r>
          </w:p>
        </w:tc>
        <w:tc>
          <w:tcPr>
            <w:tcW w:w="649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0.07</w:t>
            </w:r>
          </w:p>
        </w:tc>
        <w:tc>
          <w:tcPr>
            <w:tcW w:w="733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0.08</w:t>
            </w:r>
          </w:p>
        </w:tc>
        <w:tc>
          <w:tcPr>
            <w:tcW w:w="733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0.09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0.0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0.5000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0.5040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0.5080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0.5120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0.5160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0.5199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0.5239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0.5279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0.5319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0.5359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0.1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0.5398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0.5438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0.5478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0.5517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0.5557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0.5596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0.5636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0.5675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0.5714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0.5753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0.2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0.5793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0.5832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0.5871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0.5910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0.5948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0.5987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0.6026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0.6064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0.6103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0.6141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0.3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0.6179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0.6217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0.6255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0.6293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0.6331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0.6368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0.6406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0.6443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0.6480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0.6517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0.4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0.6554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0.6591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0.6628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0.6664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0.6700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0.6736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0.6772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0.6808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0.6844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0.6879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0.5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0.6915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0.6950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0.6985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0.7019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0.7054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0.7088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0.7123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0.7157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0.7190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0.7224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0.6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0.7257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0.7291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0.7324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0.7357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0.7389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0.7422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0.7454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0.7486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0.7517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0.7549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0.7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0.7580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0.7611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0.7642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0.7673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0.7704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0.7734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0.7764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0.7794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0.7823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0.7852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0.8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0.7881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0.7910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0.7939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0.7967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0.7995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0.8023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0.8051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0.8078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0.8106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0.8133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0.9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0.8159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0.8186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0.8212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0.8238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0.8264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0.8289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0.8315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0.8340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0.8365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0.8389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1.0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0.8413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0.8438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0.8461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0.8485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0.8508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0.8531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0.8554</w:t>
            </w:r>
          </w:p>
        </w:tc>
        <w:tc>
          <w:tcPr>
            <w:tcW w:w="64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0.8577</w:t>
            </w:r>
          </w:p>
        </w:tc>
        <w:tc>
          <w:tcPr>
            <w:tcW w:w="7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0.8599</w:t>
            </w:r>
          </w:p>
        </w:tc>
        <w:tc>
          <w:tcPr>
            <w:tcW w:w="7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0.8621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0.8643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0.8665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0.8686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0.8708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0.8729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0.8749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0.8770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0.8790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0.8810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0.8830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0.8849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0.8869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0.8888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0.8907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0.8925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0.8944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0.8962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0.8980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0.8997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0.9015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1.3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0.9032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0.9049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0.9066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0.9082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0.9099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0.9115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0.9131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0.9147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0.9162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0.9177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1.4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0.9192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0.9207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0.9222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0.9236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0.9251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0.9265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0.9279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0.9292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0.9306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0.9319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1.5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0.9332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0.9345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0.9357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0.9370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0.9382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0.9394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0.9406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0.9418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0.9429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0.9441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1.6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0.9452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0.9463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0.9474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0.9484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0.9495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0.9505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0.9515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0.9525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0.9535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0.9545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1.7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0.9554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0.9564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0.9573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0.9582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0.9591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0.9599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0.9608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0.9616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0.9625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0.9633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1.8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0.9641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0.9649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0.9656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0.9664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0.9671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0.9678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0.9686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0.9693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0.9699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0.9706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1.9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0.9713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0.9719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0.9726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0.9732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0.9738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0.9744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0.9750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0.9756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0.9761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0.9767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2.0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0.9772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0.9778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0.9783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0.9788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0.9793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0.9798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0.9803</w:t>
            </w:r>
          </w:p>
        </w:tc>
        <w:tc>
          <w:tcPr>
            <w:tcW w:w="64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0.9808</w:t>
            </w:r>
          </w:p>
        </w:tc>
        <w:tc>
          <w:tcPr>
            <w:tcW w:w="7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0.9812</w:t>
            </w:r>
          </w:p>
        </w:tc>
        <w:tc>
          <w:tcPr>
            <w:tcW w:w="7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0.9817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0.9821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0.9826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0.9830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0.9834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0.9838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0.9842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0.9846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0.9850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0.9854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0.9857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0.9861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0.9864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0.9868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0.9871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0.9875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0.9878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0.9881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0.9884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0.9887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0.9890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2.3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0.9893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0.9896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0.9898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0.9901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0.9904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0.9906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0.9909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0.9911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0.9913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0.9916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2.4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0.9918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0.9920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0.9922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0.9925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0.9927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0.9929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0.9931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0.9932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0.9934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0.9936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0.9938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0.9940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0.9941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0.9943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0.9945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0.9946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0.9948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0.9949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0.9951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0.9952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2.6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0.9953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0.9955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0.9956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0.9957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0.9959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0.9960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0.9961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0.9962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0.9963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0.9964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2.7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0.9965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0.9966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0.9967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0.9968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0.9969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0.9970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0.9971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0.9972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0.9973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0.9974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2.8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0.9974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0.9975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0.9976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0.9977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0.9977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0.9978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0.9979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0.9979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0.9980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2.9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0.9984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0.9985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0.9985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0.9986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3.0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0.9987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0.9987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0.9987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0.9988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0.9988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0.9989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0.9989</w:t>
            </w:r>
          </w:p>
        </w:tc>
        <w:tc>
          <w:tcPr>
            <w:tcW w:w="64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0.9989</w:t>
            </w:r>
          </w:p>
        </w:tc>
        <w:tc>
          <w:tcPr>
            <w:tcW w:w="7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0.9990</w:t>
            </w:r>
          </w:p>
        </w:tc>
        <w:tc>
          <w:tcPr>
            <w:tcW w:w="7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3.1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0.9991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0.9992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0.9992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0.9992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0.9993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0.9993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3.2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0.9994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0.9994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0.9995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0.9995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0.9995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3.3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0.9996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0.9996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0.9996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0.9996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0.9997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3.4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0.9997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0.9997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0.9997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0.9997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3.5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0.9998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0.9998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0.9998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0.9998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3.6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3.8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0.9999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705" w:type="dxa"/>
            <w:tcBorders>
              <w:left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705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649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733" w:type="dxa"/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91" w:type="dxa"/>
          <w:cantSplit/>
          <w:trHeight w:val="190" w:hRule="atLeast"/>
          <w:jc w:val="center"/>
        </w:trPr>
        <w:tc>
          <w:tcPr>
            <w:tcW w:w="42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/>
              <w:keepLines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4.0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70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64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7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  <w:tc>
          <w:tcPr>
            <w:tcW w:w="7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keepNext/>
              <w:keepLines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1.0000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96" w:type="dxa"/>
          <w:cantSplit/>
          <w:trHeight w:val="190" w:hRule="atLeast"/>
          <w:jc w:val="center"/>
        </w:trPr>
        <w:tc>
          <w:tcPr>
            <w:tcW w:w="7465" w:type="dxa"/>
            <w:gridSpan w:val="12"/>
          </w:tcPr>
          <w:p>
            <w:pPr>
              <w:keepNext/>
              <w:keepLines/>
              <w:spacing w:before="20" w:after="20"/>
              <w:rPr>
                <w:sz w:val="20"/>
              </w:rPr>
            </w:pPr>
          </w:p>
        </w:tc>
      </w:tr>
    </w:tbl>
    <w:p>
      <w:pPr>
        <w:rPr>
          <w:szCs w:val="21"/>
        </w:rPr>
      </w:pPr>
    </w:p>
    <w:p>
      <w:pPr>
        <w:pStyle w:val="2"/>
      </w:pPr>
      <w:r>
        <w:br w:type="page"/>
      </w:r>
      <w:bookmarkStart w:id="33" w:name="_Toc25535"/>
      <w:r>
        <w:rPr>
          <w:rFonts w:hint="eastAsia"/>
        </w:rPr>
        <w:t>投资组合管理</w:t>
      </w:r>
      <w:bookmarkEnd w:id="33"/>
    </w:p>
    <w:p>
      <w:pPr>
        <w:pStyle w:val="3"/>
        <w:rPr>
          <w:lang w:eastAsia="zh-CN"/>
        </w:rPr>
      </w:pPr>
      <w:bookmarkStart w:id="34" w:name="_Toc2596"/>
      <w:r>
        <w:rPr>
          <w:lang w:eastAsia="zh-CN"/>
        </w:rPr>
        <w:t>1</w:t>
      </w:r>
      <w:r>
        <w:rPr>
          <w:rFonts w:hint="eastAsia"/>
          <w:lang w:eastAsia="zh-CN"/>
        </w:rPr>
        <w:t xml:space="preserve"> 现代投资组合理论</w:t>
      </w:r>
      <w:bookmarkEnd w:id="34"/>
    </w:p>
    <w:p>
      <w:pPr>
        <w:pStyle w:val="4"/>
        <w:rPr>
          <w:lang w:eastAsia="zh-CN"/>
        </w:rPr>
      </w:pPr>
      <w:bookmarkStart w:id="35" w:name="_Toc6554"/>
      <w:r>
        <w:rPr>
          <w:rFonts w:hint="eastAsia"/>
          <w:lang w:eastAsia="zh-CN"/>
        </w:rPr>
        <w:t>1.1风险/回报框架</w:t>
      </w:r>
      <w:bookmarkEnd w:id="35"/>
    </w:p>
    <w:p>
      <w:pPr>
        <w:pStyle w:val="6"/>
      </w:pPr>
      <w:r>
        <w:rPr>
          <w:rFonts w:hint="eastAsia"/>
        </w:rPr>
        <w:t>持有期回报率</w:t>
      </w:r>
    </w:p>
    <w:p>
      <w:pPr>
        <w:jc w:val="center"/>
      </w:pPr>
      <w:r>
        <w:rPr>
          <w:position w:val="-30"/>
        </w:rPr>
        <w:object>
          <v:shape id="_x0000_i1193" o:spt="75" type="#_x0000_t75" style="height:51.55pt;width:182.3pt;" o:ole="t" filled="t" o:preferrelative="t" stroked="f" coordsize="21600,21600">
            <v:path/>
            <v:fill on="t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9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  <w:rPr>
          <w:szCs w:val="21"/>
        </w:rPr>
      </w:pPr>
      <w:r>
        <w:rPr>
          <w:position w:val="-14"/>
        </w:rPr>
        <w:object>
          <v:shape id="_x0000_i1194" o:spt="75" type="#_x0000_t75" style="height:18.9pt;width:24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1">
            <o:LockedField>false</o:LockedField>
          </o:OLEObject>
        </w:object>
      </w:r>
      <w:r>
        <w:rPr>
          <w:rFonts w:hint="eastAsia"/>
          <w:szCs w:val="21"/>
          <w:vertAlign w:val="subscript"/>
        </w:rPr>
        <w:t xml:space="preserve"> 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在t-1和t期间资产的单利（非连续）回报率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 xml:space="preserve">t 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在t日资产的价格</w:t>
      </w:r>
    </w:p>
    <w:p>
      <w:pPr>
        <w:ind w:firstLine="435"/>
        <w:rPr>
          <w:szCs w:val="21"/>
        </w:rPr>
      </w:pPr>
      <w:r>
        <w:rPr>
          <w:position w:val="-16"/>
          <w:szCs w:val="21"/>
          <w:vertAlign w:val="subscript"/>
        </w:rPr>
        <w:object>
          <v:shape id="_x0000_i1195" o:spt="75" type="#_x0000_t75" style="height:20.45pt;width:18.9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3" ShapeID="_x0000_i1195" DrawAspect="Content" ObjectID="_1468075895" r:id="rId333">
            <o:LockedField>false</o:LockedField>
          </o:OLEObject>
        </w:object>
      </w:r>
      <w:r>
        <w:rPr>
          <w:rFonts w:hint="eastAsia"/>
          <w:position w:val="-16"/>
          <w:szCs w:val="21"/>
          <w:vertAlign w:val="subscript"/>
        </w:rPr>
        <w:t xml:space="preserve">  </w:t>
      </w:r>
      <w:r>
        <w:rPr>
          <w:position w:val="-16"/>
          <w:szCs w:val="21"/>
          <w:vertAlign w:val="subscript"/>
        </w:rPr>
        <w:tab/>
      </w:r>
      <w:r>
        <w:rPr>
          <w:position w:val="-16"/>
          <w:szCs w:val="21"/>
          <w:vertAlign w:val="subscript"/>
        </w:rPr>
        <w:tab/>
      </w:r>
      <w:r>
        <w:rPr>
          <w:rFonts w:hint="eastAsia"/>
          <w:szCs w:val="21"/>
        </w:rPr>
        <w:t>在t-1 和t之间的t</w:t>
      </w:r>
      <w:r>
        <w:rPr>
          <w:rFonts w:hint="eastAsia"/>
          <w:szCs w:val="21"/>
          <w:vertAlign w:val="subscript"/>
        </w:rPr>
        <w:t>j</w:t>
      </w:r>
      <w:r>
        <w:rPr>
          <w:rFonts w:hint="eastAsia"/>
          <w:szCs w:val="21"/>
        </w:rPr>
        <w:t>日支付的股利或利息</w:t>
      </w:r>
    </w:p>
    <w:p>
      <w:pPr>
        <w:ind w:firstLine="435"/>
        <w:rPr>
          <w:szCs w:val="21"/>
        </w:rPr>
      </w:pPr>
      <w:r>
        <w:rPr>
          <w:position w:val="-38"/>
        </w:rPr>
        <w:object>
          <v:shape id="_x0000_i1196" o:spt="75" type="#_x0000_t75" style="height:30.65pt;width:15.85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5">
            <o:LockedField>false</o:LockedField>
          </o:OLEObject>
        </w:object>
      </w:r>
      <w:r>
        <w:rPr>
          <w:rFonts w:hint="eastAsia"/>
          <w:position w:val="-14"/>
          <w:szCs w:val="21"/>
        </w:rPr>
        <w:t xml:space="preserve"> </w:t>
      </w:r>
      <w:r>
        <w:rPr>
          <w:position w:val="-14"/>
          <w:szCs w:val="21"/>
        </w:rPr>
        <w:tab/>
      </w:r>
      <w:r>
        <w:rPr>
          <w:position w:val="-14"/>
          <w:szCs w:val="21"/>
        </w:rPr>
        <w:tab/>
      </w:r>
      <w:r>
        <w:rPr>
          <w:rFonts w:hint="eastAsia"/>
          <w:szCs w:val="21"/>
        </w:rPr>
        <w:t>第j次支持红利或票息的日期</w:t>
      </w:r>
    </w:p>
    <w:p>
      <w:pPr>
        <w:ind w:firstLine="435"/>
        <w:rPr>
          <w:szCs w:val="21"/>
        </w:rPr>
      </w:pPr>
      <w:r>
        <w:rPr>
          <w:position w:val="-16"/>
        </w:rPr>
        <w:object>
          <v:shape id="_x0000_i1197" o:spt="75" type="#_x0000_t75" style="height:20.95pt;width:21.95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7">
            <o:LockedField>false</o:LockedField>
          </o:OLEObject>
        </w:object>
      </w:r>
      <w:r>
        <w:rPr>
          <w:rFonts w:hint="eastAsia"/>
          <w:position w:val="-20"/>
          <w:sz w:val="22"/>
        </w:rPr>
        <w:t xml:space="preserve"> </w:t>
      </w:r>
      <w:r>
        <w:rPr>
          <w:position w:val="-20"/>
          <w:sz w:val="22"/>
        </w:rPr>
        <w:tab/>
      </w:r>
      <w:r>
        <w:rPr>
          <w:position w:val="-20"/>
          <w:sz w:val="22"/>
        </w:rPr>
        <w:tab/>
      </w:r>
      <w:r>
        <w:rPr>
          <w:rFonts w:hint="eastAsia"/>
          <w:szCs w:val="21"/>
        </w:rPr>
        <w:t>在t</w:t>
      </w:r>
      <w:r>
        <w:rPr>
          <w:rFonts w:hint="eastAsia"/>
          <w:szCs w:val="21"/>
          <w:vertAlign w:val="subscript"/>
        </w:rPr>
        <w:t>j</w:t>
      </w:r>
      <w:r>
        <w:rPr>
          <w:rFonts w:hint="eastAsia"/>
          <w:szCs w:val="21"/>
        </w:rPr>
        <w:t>和t期间的年化无风险利率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J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期间收款的次数</w:t>
      </w:r>
    </w:p>
    <w:p>
      <w:pPr>
        <w:ind w:firstLine="435"/>
        <w:rPr>
          <w:szCs w:val="21"/>
        </w:rPr>
      </w:pPr>
    </w:p>
    <w:p>
      <w:pPr>
        <w:pStyle w:val="6"/>
      </w:pPr>
      <w:r>
        <w:rPr>
          <w:rFonts w:hint="eastAsia"/>
        </w:rPr>
        <w:t>持有期回报率的算术平均和几何平均</w:t>
      </w:r>
    </w:p>
    <w:p>
      <w:pPr>
        <w:pStyle w:val="6"/>
      </w:pPr>
      <w:r>
        <w:rPr>
          <w:rFonts w:hint="eastAsia"/>
        </w:rPr>
        <w:t>持有期回报率的算术平均（r</w:t>
      </w:r>
      <w:r>
        <w:rPr>
          <w:vertAlign w:val="subscript"/>
        </w:rPr>
        <w:t>A</w:t>
      </w:r>
      <w:r>
        <w:rPr>
          <w:rFonts w:hint="eastAsia"/>
        </w:rPr>
        <w:t>）</w:t>
      </w:r>
    </w:p>
    <w:p>
      <w:pPr>
        <w:jc w:val="center"/>
        <w:rPr>
          <w:szCs w:val="21"/>
        </w:rPr>
      </w:pPr>
      <w:r>
        <w:rPr>
          <w:position w:val="-28"/>
          <w:sz w:val="20"/>
        </w:rPr>
        <w:object>
          <v:shape id="_x0000_i1198" o:spt="75" type="#_x0000_t75" style="height:33.7pt;width:63.85pt;" o:ole="t" filled="t" o:preferrelative="t" stroked="f" coordsize="21600,21600">
            <v:path/>
            <v:fill on="t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9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position w:val="-10"/>
          <w:szCs w:val="21"/>
          <w:vertAlign w:val="subscript"/>
        </w:rPr>
        <w:object>
          <v:shape id="_x0000_i1199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3" ShapeID="_x0000_i1199" DrawAspect="Content" ObjectID="_1468075899" r:id="rId341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rFonts w:hint="eastAsia"/>
          <w:szCs w:val="21"/>
        </w:rPr>
        <w:t>经过连续的N期后的算术平均回报率</w:t>
      </w:r>
    </w:p>
    <w:p>
      <w:pPr>
        <w:ind w:firstLine="435"/>
        <w:rPr>
          <w:szCs w:val="21"/>
        </w:rPr>
      </w:pPr>
      <w:r>
        <w:rPr>
          <w:position w:val="-10"/>
          <w:szCs w:val="21"/>
          <w:vertAlign w:val="subscript"/>
        </w:rPr>
        <w:object>
          <v:shape id="_x0000_i1200" o:spt="75" type="#_x0000_t75" style="height:17.35pt;width:9.2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3" ShapeID="_x0000_i1200" DrawAspect="Content" ObjectID="_1468075900" r:id="rId343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position w:val="-10"/>
          <w:szCs w:val="21"/>
          <w:vertAlign w:val="subscript"/>
        </w:rPr>
        <w:tab/>
      </w:r>
      <w:r>
        <w:rPr>
          <w:rFonts w:hint="eastAsia"/>
          <w:szCs w:val="21"/>
        </w:rPr>
        <w:t>持有期间的回报（以连续复利计算）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N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持有期间时段数目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非连续复利计算的持有期回报率的几何平均（R</w:t>
      </w:r>
      <w:r>
        <w:rPr>
          <w:vertAlign w:val="subscript"/>
        </w:rPr>
        <w:t>G</w:t>
      </w:r>
      <w:r>
        <w:rPr>
          <w:rFonts w:hint="eastAsia"/>
        </w:rPr>
        <w:t>）</w:t>
      </w:r>
    </w:p>
    <w:p>
      <w:pPr>
        <w:jc w:val="center"/>
        <w:rPr>
          <w:szCs w:val="21"/>
        </w:rPr>
      </w:pPr>
      <w:r>
        <w:rPr>
          <w:position w:val="-14"/>
        </w:rPr>
        <w:object>
          <v:shape id="_x0000_i1201" o:spt="75" type="#_x0000_t75" style="height:22.45pt;width:182.3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5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szCs w:val="21"/>
          <w:vertAlign w:val="subscript"/>
        </w:rPr>
        <w:t>G</w:t>
      </w:r>
      <w:r>
        <w:rPr>
          <w:rFonts w:hint="eastAsia"/>
          <w:szCs w:val="21"/>
          <w:vertAlign w:val="subscript"/>
        </w:rPr>
        <w:t xml:space="preserve">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经过连续的N期后的几何平均回报率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i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期间i的非连续回报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N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持有期间的复利期数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货币的时间价值: 复利计算和折现</w:t>
      </w:r>
    </w:p>
    <w:p>
      <w:pPr>
        <w:pStyle w:val="6"/>
      </w:pPr>
      <w:r>
        <w:rPr>
          <w:rFonts w:hint="eastAsia"/>
        </w:rPr>
        <w:t>复利计算的回报</w:t>
      </w:r>
    </w:p>
    <w:p>
      <w:pPr>
        <w:jc w:val="center"/>
        <w:rPr>
          <w:szCs w:val="21"/>
        </w:rPr>
      </w:pPr>
      <w:r>
        <w:rPr>
          <w:position w:val="-30"/>
        </w:rPr>
        <w:object>
          <v:shape id="_x0000_i1202" o:spt="75" type="#_x0000_t75" style="height:41.35pt;width:116.45pt;" o:ole="t" filled="t" o:preferrelative="t" stroked="f" coordsize="21600,21600">
            <v:path/>
            <v:fill on="t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3" ShapeID="_x0000_i1202" DrawAspect="Content" ObjectID="_1468075902" r:id="rId347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R</w:t>
      </w:r>
      <w:r>
        <w:rPr>
          <w:rFonts w:hint="eastAsia"/>
          <w:szCs w:val="21"/>
          <w:vertAlign w:val="subscript"/>
        </w:rPr>
        <w:t xml:space="preserve">eff       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整个时期的有效回报率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nom         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名义回报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m         </w:t>
      </w:r>
      <w:r>
        <w:rPr>
          <w:szCs w:val="21"/>
        </w:rPr>
        <w:tab/>
      </w:r>
      <w:r>
        <w:rPr>
          <w:rFonts w:hint="eastAsia"/>
          <w:szCs w:val="21"/>
        </w:rPr>
        <w:t>所属期间的期数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连续复利和单利（非连续）回报的比较</w:t>
      </w:r>
    </w:p>
    <w:p>
      <w:pPr>
        <w:rPr>
          <w:szCs w:val="21"/>
        </w:rPr>
      </w:pPr>
      <w:r>
        <w:rPr>
          <w:rFonts w:hint="eastAsia"/>
          <w:szCs w:val="21"/>
        </w:rPr>
        <w:t>在t-1至t期间无股利支付</w:t>
      </w:r>
    </w:p>
    <w:p>
      <w:pPr>
        <w:jc w:val="center"/>
        <w:rPr>
          <w:szCs w:val="21"/>
        </w:rPr>
      </w:pPr>
      <w:r>
        <w:rPr>
          <w:position w:val="-50"/>
        </w:rPr>
        <w:object>
          <v:shape id="_x0000_i1203" o:spt="75" type="#_x0000_t75" style="height:56.15pt;width:113.85pt;" o:ole="t" filled="t" o:preferrelative="t" stroked="f" coordsize="21600,21600">
            <v:path/>
            <v:fill on="t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3" ShapeID="_x0000_i1203" DrawAspect="Content" ObjectID="_1468075903" r:id="rId349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position w:val="-12"/>
          <w:szCs w:val="21"/>
          <w:vertAlign w:val="subscript"/>
        </w:rPr>
        <w:object>
          <v:shape id="_x0000_i1204" o:spt="75" type="#_x0000_t75" style="height:18.9pt;width:11.25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3" ShapeID="_x0000_i1204" DrawAspect="Content" ObjectID="_1468075904" r:id="rId351">
            <o:LockedField>false</o:LockedField>
          </o:OLEObject>
        </w:object>
      </w:r>
      <w:r>
        <w:rPr>
          <w:rFonts w:hint="eastAsia"/>
          <w:position w:val="-12"/>
          <w:szCs w:val="21"/>
          <w:vertAlign w:val="subscript"/>
        </w:rPr>
        <w:t xml:space="preserve">  </w:t>
      </w:r>
      <w:r>
        <w:rPr>
          <w:position w:val="-12"/>
          <w:szCs w:val="21"/>
          <w:vertAlign w:val="subscript"/>
        </w:rPr>
        <w:tab/>
      </w:r>
      <w:r>
        <w:rPr>
          <w:position w:val="-12"/>
          <w:szCs w:val="21"/>
          <w:vertAlign w:val="subscript"/>
        </w:rPr>
        <w:tab/>
      </w:r>
      <w:r>
        <w:rPr>
          <w:rFonts w:hint="eastAsia"/>
          <w:szCs w:val="21"/>
        </w:rPr>
        <w:t>在t-1至t期间的连续复利回报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 xml:space="preserve">t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在日资产价格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t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在t-1至t期的单利（非连续）回报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欧拉数</w:t>
      </w:r>
    </w:p>
    <w:p>
      <w:pPr>
        <w:ind w:firstLine="420"/>
        <w:rPr>
          <w:szCs w:val="21"/>
        </w:rPr>
      </w:pPr>
    </w:p>
    <w:p>
      <w:pPr>
        <w:pStyle w:val="6"/>
      </w:pPr>
      <w:r>
        <w:rPr>
          <w:rFonts w:hint="eastAsia"/>
        </w:rPr>
        <w:t>年化的回报率</w:t>
      </w:r>
    </w:p>
    <w:p>
      <w:pPr>
        <w:pStyle w:val="6"/>
      </w:pPr>
      <w:r>
        <w:rPr>
          <w:rFonts w:hint="eastAsia"/>
        </w:rPr>
        <w:t>年化的持有期回报率（假定一年360天）</w:t>
      </w:r>
    </w:p>
    <w:p>
      <w:pPr>
        <w:rPr>
          <w:szCs w:val="21"/>
        </w:rPr>
      </w:pPr>
      <w:r>
        <w:rPr>
          <w:rFonts w:hint="eastAsia"/>
          <w:szCs w:val="21"/>
        </w:rPr>
        <w:t>假定利息以R</w:t>
      </w:r>
      <w:r>
        <w:rPr>
          <w:szCs w:val="21"/>
          <w:vertAlign w:val="subscript"/>
        </w:rPr>
        <w:t>τ</w:t>
      </w:r>
      <w:r>
        <w:rPr>
          <w:rFonts w:hint="eastAsia"/>
          <w:szCs w:val="21"/>
        </w:rPr>
        <w:t>的利率再投资</w:t>
      </w:r>
    </w:p>
    <w:p>
      <w:pPr>
        <w:jc w:val="center"/>
        <w:rPr>
          <w:szCs w:val="21"/>
        </w:rPr>
      </w:pPr>
      <w:r>
        <w:object>
          <v:shape id="_x0000_i1205" o:spt="75" type="#_x0000_t75" style="height:21.95pt;width:130.7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3" ShapeID="_x0000_i1205" DrawAspect="Content" ObjectID="_1468075905" r:id="rId353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ann  </w:t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年化的简单利率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szCs w:val="21"/>
          <w:vertAlign w:val="subscript"/>
        </w:rPr>
        <w:t>τ</w:t>
      </w:r>
      <w:r>
        <w:rPr>
          <w:rFonts w:hint="eastAsia"/>
          <w:szCs w:val="21"/>
          <w:vertAlign w:val="subscript"/>
        </w:rPr>
        <w:t xml:space="preserve">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经过</w:t>
      </w:r>
      <w:r>
        <w:rPr>
          <w:szCs w:val="21"/>
        </w:rPr>
        <w:t>τ</w:t>
      </w:r>
      <w:r>
        <w:rPr>
          <w:rFonts w:hint="eastAsia"/>
          <w:szCs w:val="21"/>
        </w:rPr>
        <w:t>天的简单利率</w:t>
      </w:r>
    </w:p>
    <w:p>
      <w:pPr>
        <w:ind w:firstLine="435"/>
        <w:rPr>
          <w:szCs w:val="21"/>
        </w:rPr>
      </w:pPr>
      <w:r>
        <w:rPr>
          <w:position w:val="-6"/>
        </w:rPr>
        <w:object>
          <v:shape id="_x0000_i1206" o:spt="75" type="#_x0000_t75" style="height:11.25pt;width:9.7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55">
            <o:LockedField>false</o:LockedField>
          </o:OLEObject>
        </w:object>
      </w:r>
      <w:r>
        <w:tab/>
      </w:r>
      <w:r>
        <w:tab/>
      </w:r>
      <w:r>
        <w:rPr>
          <w:rFonts w:hint="eastAsia"/>
        </w:rPr>
        <w:t>天数</w:t>
      </w:r>
    </w:p>
    <w:p>
      <w:pPr>
        <w:ind w:firstLine="435"/>
        <w:rPr>
          <w:szCs w:val="21"/>
        </w:rPr>
      </w:pPr>
      <w:r>
        <w:rPr>
          <w:rFonts w:hint="eastAsia"/>
          <w:szCs w:val="21"/>
          <w:u w:val="single"/>
        </w:rPr>
        <w:t>注意</w:t>
      </w:r>
      <w:r>
        <w:rPr>
          <w:rFonts w:hint="eastAsia"/>
          <w:szCs w:val="21"/>
        </w:rPr>
        <w:t>：一年之中有效日子的算法，有的国家是365日，有的国家是360日。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年化的连续复利回报（假定一年360天）</w:t>
      </w:r>
    </w:p>
    <w:p>
      <w:pPr>
        <w:jc w:val="center"/>
        <w:rPr>
          <w:szCs w:val="21"/>
        </w:rPr>
      </w:pPr>
      <w:r>
        <w:rPr>
          <w:position w:val="-24"/>
          <w:sz w:val="20"/>
        </w:rPr>
        <w:object>
          <v:shape id="_x0000_i1207" o:spt="75" type="#_x0000_t75" style="height:31.65pt;width:67.4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3" ShapeID="_x0000_i1207" DrawAspect="Content" ObjectID="_1468075907" r:id="rId357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position w:val="-12"/>
        </w:rPr>
        <w:object>
          <v:shape id="_x0000_i1208" o:spt="75" type="#_x0000_t75" style="height:18.9pt;width:19.4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3" ShapeID="_x0000_i1208" DrawAspect="Content" ObjectID="_1468075908" r:id="rId359">
            <o:LockedField>false</o:LockedField>
          </o:OLEObject>
        </w:object>
      </w:r>
      <w:r>
        <w:rPr>
          <w:rFonts w:hint="eastAsia"/>
          <w:position w:val="-12"/>
        </w:rPr>
        <w:t xml:space="preserve">  </w:t>
      </w:r>
      <w:r>
        <w:rPr>
          <w:position w:val="-12"/>
        </w:rPr>
        <w:tab/>
      </w:r>
      <w:r>
        <w:rPr>
          <w:rFonts w:hint="eastAsia"/>
          <w:szCs w:val="21"/>
        </w:rPr>
        <w:t>年化回报率</w:t>
      </w:r>
    </w:p>
    <w:p>
      <w:pPr>
        <w:ind w:firstLine="435"/>
        <w:rPr>
          <w:szCs w:val="21"/>
        </w:rPr>
      </w:pPr>
      <w:r>
        <w:rPr>
          <w:position w:val="-12"/>
        </w:rPr>
        <w:object>
          <v:shape id="_x0000_i1209" o:spt="75" type="#_x0000_t75" style="height:18.9pt;width:11.25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3" ShapeID="_x0000_i1209" DrawAspect="Content" ObjectID="_1468075909" r:id="rId361">
            <o:LockedField>false</o:LockedField>
          </o:OLEObject>
        </w:object>
      </w:r>
      <w:r>
        <w:rPr>
          <w:rFonts w:hint="eastAsia"/>
          <w:position w:val="-12"/>
        </w:rPr>
        <w:t xml:space="preserve">  </w:t>
      </w:r>
      <w:r>
        <w:rPr>
          <w:position w:val="-12"/>
        </w:rPr>
        <w:tab/>
      </w:r>
      <w:r>
        <w:rPr>
          <w:rFonts w:hint="eastAsia"/>
          <w:szCs w:val="21"/>
        </w:rPr>
        <w:t>经过</w:t>
      </w:r>
      <w:r>
        <w:rPr>
          <w:szCs w:val="21"/>
        </w:rPr>
        <w:t>τ</w:t>
      </w:r>
      <w:r>
        <w:rPr>
          <w:rFonts w:hint="eastAsia"/>
          <w:szCs w:val="21"/>
        </w:rPr>
        <w:t>天的连续复利回报率</w:t>
      </w:r>
    </w:p>
    <w:p>
      <w:pPr>
        <w:ind w:firstLine="435"/>
        <w:rPr>
          <w:szCs w:val="21"/>
        </w:rPr>
      </w:pPr>
      <w:r>
        <w:rPr>
          <w:position w:val="-6"/>
        </w:rPr>
        <w:object>
          <v:shape id="_x0000_i1210" o:spt="75" type="#_x0000_t75" style="height:11.25pt;width:9.7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63">
            <o:LockedField>false</o:LockedField>
          </o:OLEObject>
        </w:object>
      </w:r>
      <w:r>
        <w:tab/>
      </w:r>
      <w:r>
        <w:tab/>
      </w:r>
      <w:r>
        <w:rPr>
          <w:rFonts w:hint="eastAsia"/>
        </w:rPr>
        <w:t>天数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名义和真实回报</w:t>
      </w:r>
    </w:p>
    <w:p>
      <w:pPr>
        <w:pStyle w:val="7"/>
        <w:rPr>
          <w:b w:val="0"/>
          <w:lang w:eastAsia="zh-CN"/>
        </w:rPr>
      </w:pPr>
      <w:r>
        <w:rPr>
          <w:rFonts w:hint="eastAsia"/>
          <w:b w:val="0"/>
          <w:lang w:eastAsia="zh-CN"/>
        </w:rPr>
        <w:t>单利回报</w:t>
      </w:r>
    </w:p>
    <w:p>
      <w:pPr>
        <w:jc w:val="center"/>
        <w:rPr>
          <w:szCs w:val="21"/>
        </w:rPr>
      </w:pPr>
      <w:r>
        <w:rPr>
          <w:position w:val="-12"/>
          <w:sz w:val="20"/>
        </w:rPr>
        <w:object>
          <v:shape id="_x0000_i1211" o:spt="75" type="#_x0000_t75" style="height:21.95pt;width:240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3" ShapeID="_x0000_i1211" DrawAspect="Content" ObjectID="_1468075911" r:id="rId364">
            <o:LockedField>false</o:LockedField>
          </o:OLEObject>
        </w:object>
      </w:r>
    </w:p>
    <w:p>
      <w:pPr>
        <w:pStyle w:val="7"/>
        <w:rPr>
          <w:b w:val="0"/>
          <w:u w:val="single"/>
        </w:rPr>
      </w:pPr>
      <w:r>
        <w:rPr>
          <w:rFonts w:hint="eastAsia"/>
          <w:b w:val="0"/>
          <w:u w:val="single"/>
        </w:rPr>
        <w:t>连续复利回报</w:t>
      </w:r>
    </w:p>
    <w:p>
      <w:pPr>
        <w:jc w:val="center"/>
        <w:rPr>
          <w:szCs w:val="21"/>
        </w:rPr>
      </w:pPr>
      <w:r>
        <w:rPr>
          <w:position w:val="-12"/>
          <w:sz w:val="20"/>
        </w:rPr>
        <w:object>
          <v:shape id="_x0000_i1212" o:spt="75" type="#_x0000_t75" style="height:21.95pt;width:98.05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3" ShapeID="_x0000_i1212" DrawAspect="Content" ObjectID="_1468075912" r:id="rId366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position w:val="-12"/>
          <w:sz w:val="20"/>
        </w:rPr>
        <w:object>
          <v:shape id="_x0000_i1213" o:spt="75" type="#_x0000_t75" style="height:21.95pt;width:30.15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3" ShapeID="_x0000_i1213" DrawAspect="Content" ObjectID="_1468075913" r:id="rId368">
            <o:LockedField>false</o:LockedField>
          </o:OLEObject>
        </w:object>
      </w:r>
      <w:r>
        <w:rPr>
          <w:rFonts w:hint="eastAsia"/>
          <w:position w:val="-12"/>
          <w:sz w:val="20"/>
        </w:rPr>
        <w:t xml:space="preserve">  </w:t>
      </w:r>
      <w:r>
        <w:rPr>
          <w:position w:val="-12"/>
          <w:sz w:val="20"/>
        </w:rPr>
        <w:tab/>
      </w:r>
      <w:r>
        <w:rPr>
          <w:position w:val="-12"/>
          <w:sz w:val="20"/>
        </w:rPr>
        <w:tab/>
      </w:r>
      <w:r>
        <w:rPr>
          <w:szCs w:val="21"/>
        </w:rPr>
        <w:t>经过t时期的资产真实回报</w:t>
      </w:r>
      <w:r>
        <w:rPr>
          <w:rFonts w:hint="eastAsia"/>
          <w:szCs w:val="21"/>
        </w:rPr>
        <w:t>率</w:t>
      </w:r>
      <w:r>
        <w:rPr>
          <w:szCs w:val="21"/>
        </w:rPr>
        <w:t>（单利）</w:t>
      </w:r>
    </w:p>
    <w:p>
      <w:pPr>
        <w:ind w:firstLine="435"/>
        <w:rPr>
          <w:szCs w:val="21"/>
        </w:rPr>
      </w:pPr>
      <w:r>
        <w:rPr>
          <w:position w:val="-12"/>
          <w:sz w:val="20"/>
        </w:rPr>
        <w:object>
          <v:shape id="_x0000_i1214" o:spt="75" type="#_x0000_t75" style="height:21.95pt;width:44.95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3" ShapeID="_x0000_i1214" DrawAspect="Content" ObjectID="_1468075914" r:id="rId370">
            <o:LockedField>false</o:LockedField>
          </o:OLEObject>
        </w:object>
      </w:r>
      <w:r>
        <w:rPr>
          <w:rFonts w:hint="eastAsia"/>
          <w:position w:val="-12"/>
          <w:sz w:val="20"/>
        </w:rPr>
        <w:t xml:space="preserve">  </w:t>
      </w:r>
      <w:r>
        <w:rPr>
          <w:position w:val="-12"/>
          <w:sz w:val="20"/>
        </w:rPr>
        <w:tab/>
      </w:r>
      <w:r>
        <w:rPr>
          <w:szCs w:val="21"/>
        </w:rPr>
        <w:t>经过t时期的资产名义回报</w:t>
      </w:r>
      <w:r>
        <w:rPr>
          <w:rFonts w:hint="eastAsia"/>
          <w:szCs w:val="21"/>
        </w:rPr>
        <w:t>率</w:t>
      </w:r>
      <w:r>
        <w:rPr>
          <w:szCs w:val="21"/>
        </w:rPr>
        <w:t>（单利）</w:t>
      </w:r>
    </w:p>
    <w:p>
      <w:pPr>
        <w:ind w:firstLine="435"/>
        <w:rPr>
          <w:szCs w:val="21"/>
        </w:rPr>
      </w:pPr>
      <w:r>
        <w:rPr>
          <w:i/>
          <w:iCs/>
          <w:szCs w:val="21"/>
        </w:rPr>
        <w:t>I</w:t>
      </w:r>
      <w:r>
        <w:rPr>
          <w:i/>
          <w:iCs/>
          <w:szCs w:val="21"/>
          <w:vertAlign w:val="subscript"/>
        </w:rPr>
        <w:t>t</w:t>
      </w:r>
      <w:r>
        <w:rPr>
          <w:rFonts w:hint="eastAsia"/>
          <w:i/>
          <w:iCs/>
          <w:szCs w:val="21"/>
          <w:vertAlign w:val="subscript"/>
        </w:rPr>
        <w:t xml:space="preserve">  </w:t>
      </w:r>
      <w:r>
        <w:rPr>
          <w:i/>
          <w:iCs/>
          <w:szCs w:val="21"/>
          <w:vertAlign w:val="subscript"/>
        </w:rPr>
        <w:tab/>
      </w:r>
      <w:r>
        <w:rPr>
          <w:i/>
          <w:iCs/>
          <w:szCs w:val="21"/>
          <w:vertAlign w:val="subscript"/>
        </w:rPr>
        <w:tab/>
      </w:r>
      <w:r>
        <w:rPr>
          <w:i/>
          <w:iCs/>
          <w:szCs w:val="21"/>
          <w:vertAlign w:val="subscript"/>
        </w:rPr>
        <w:tab/>
      </w:r>
      <w:r>
        <w:rPr>
          <w:szCs w:val="21"/>
        </w:rPr>
        <w:t>经过t时期的通货膨胀率（单利）</w:t>
      </w:r>
    </w:p>
    <w:p>
      <w:pPr>
        <w:ind w:firstLine="435"/>
        <w:rPr>
          <w:szCs w:val="21"/>
        </w:rPr>
      </w:pPr>
      <w:r>
        <w:rPr>
          <w:position w:val="-12"/>
          <w:sz w:val="20"/>
        </w:rPr>
        <w:object>
          <v:shape id="_x0000_i1215" o:spt="75" type="#_x0000_t75" style="height:21.95pt;width:26.05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3" ShapeID="_x0000_i1215" DrawAspect="Content" ObjectID="_1468075915" r:id="rId372">
            <o:LockedField>false</o:LockedField>
          </o:OLEObject>
        </w:object>
      </w:r>
      <w:r>
        <w:rPr>
          <w:rFonts w:hint="eastAsia"/>
          <w:position w:val="-12"/>
          <w:sz w:val="20"/>
        </w:rPr>
        <w:t xml:space="preserve">  </w:t>
      </w:r>
      <w:r>
        <w:rPr>
          <w:position w:val="-12"/>
          <w:sz w:val="20"/>
        </w:rPr>
        <w:tab/>
      </w:r>
      <w:r>
        <w:rPr>
          <w:position w:val="-12"/>
          <w:sz w:val="20"/>
        </w:rPr>
        <w:tab/>
      </w:r>
      <w:r>
        <w:rPr>
          <w:szCs w:val="21"/>
        </w:rPr>
        <w:t>经过t时期的资产真实回报</w:t>
      </w:r>
      <w:r>
        <w:rPr>
          <w:rFonts w:hint="eastAsia"/>
          <w:szCs w:val="21"/>
        </w:rPr>
        <w:t>率</w:t>
      </w:r>
      <w:r>
        <w:rPr>
          <w:szCs w:val="21"/>
        </w:rPr>
        <w:t>（连续复利）</w:t>
      </w:r>
    </w:p>
    <w:p>
      <w:pPr>
        <w:ind w:firstLine="435"/>
        <w:rPr>
          <w:szCs w:val="21"/>
        </w:rPr>
      </w:pPr>
      <w:r>
        <w:rPr>
          <w:position w:val="-12"/>
          <w:sz w:val="20"/>
        </w:rPr>
        <w:object>
          <v:shape id="_x0000_i1216" o:spt="75" type="#_x0000_t75" style="height:21.95pt;width:41.85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3" ShapeID="_x0000_i1216" DrawAspect="Content" ObjectID="_1468075916" r:id="rId374">
            <o:LockedField>false</o:LockedField>
          </o:OLEObject>
        </w:object>
      </w:r>
      <w:r>
        <w:rPr>
          <w:rFonts w:hint="eastAsia"/>
          <w:position w:val="-12"/>
          <w:sz w:val="20"/>
        </w:rPr>
        <w:t xml:space="preserve">  </w:t>
      </w:r>
      <w:r>
        <w:rPr>
          <w:position w:val="-12"/>
          <w:sz w:val="20"/>
        </w:rPr>
        <w:tab/>
      </w:r>
      <w:r>
        <w:rPr>
          <w:szCs w:val="21"/>
        </w:rPr>
        <w:t>经过t时期的资产名义回报</w:t>
      </w:r>
      <w:r>
        <w:rPr>
          <w:rFonts w:hint="eastAsia"/>
          <w:szCs w:val="21"/>
        </w:rPr>
        <w:t>率</w:t>
      </w:r>
      <w:r>
        <w:rPr>
          <w:szCs w:val="21"/>
        </w:rPr>
        <w:t>（连续复利）</w:t>
      </w:r>
    </w:p>
    <w:p>
      <w:pPr>
        <w:ind w:firstLine="435"/>
        <w:rPr>
          <w:szCs w:val="21"/>
        </w:rPr>
      </w:pPr>
      <w:r>
        <w:rPr>
          <w:i/>
          <w:iCs/>
          <w:szCs w:val="21"/>
        </w:rPr>
        <w:t>i</w:t>
      </w:r>
      <w:r>
        <w:rPr>
          <w:i/>
          <w:iCs/>
          <w:szCs w:val="21"/>
          <w:vertAlign w:val="subscript"/>
        </w:rPr>
        <w:t>t</w:t>
      </w:r>
      <w:r>
        <w:rPr>
          <w:rFonts w:hint="eastAsia"/>
          <w:i/>
          <w:iCs/>
          <w:szCs w:val="21"/>
          <w:vertAlign w:val="subscript"/>
        </w:rPr>
        <w:t xml:space="preserve">  </w:t>
      </w:r>
      <w:r>
        <w:rPr>
          <w:i/>
          <w:iCs/>
          <w:szCs w:val="21"/>
          <w:vertAlign w:val="subscript"/>
        </w:rPr>
        <w:tab/>
      </w:r>
      <w:r>
        <w:rPr>
          <w:i/>
          <w:iCs/>
          <w:szCs w:val="21"/>
          <w:vertAlign w:val="subscript"/>
        </w:rPr>
        <w:tab/>
      </w:r>
      <w:r>
        <w:rPr>
          <w:i/>
          <w:iCs/>
          <w:szCs w:val="21"/>
          <w:vertAlign w:val="subscript"/>
        </w:rPr>
        <w:tab/>
      </w:r>
      <w:r>
        <w:rPr>
          <w:szCs w:val="21"/>
        </w:rPr>
        <w:t>经过t时期的通货膨胀率（连续复利）</w:t>
      </w:r>
    </w:p>
    <w:p>
      <w:pPr>
        <w:rPr>
          <w:szCs w:val="21"/>
        </w:rPr>
      </w:pPr>
    </w:p>
    <w:p>
      <w:pPr>
        <w:pStyle w:val="4"/>
        <w:rPr>
          <w:lang w:eastAsia="zh-CN"/>
        </w:rPr>
      </w:pPr>
      <w:bookmarkStart w:id="36" w:name="_Toc26871"/>
      <w:r>
        <w:rPr>
          <w:rFonts w:hint="eastAsia"/>
          <w:lang w:eastAsia="zh-CN"/>
        </w:rPr>
        <w:t>1.2风险的测量</w:t>
      </w:r>
      <w:bookmarkEnd w:id="36"/>
    </w:p>
    <w:p>
      <w:pPr>
        <w:pStyle w:val="5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.2.1</w:t>
      </w:r>
      <w:r>
        <w:rPr>
          <w:rFonts w:hint="eastAsia"/>
          <w:lang w:eastAsia="zh-CN"/>
        </w:rPr>
        <w:t>概率的概念</w:t>
      </w:r>
    </w:p>
    <w:p>
      <w:r>
        <w:rPr>
          <w:rFonts w:hint="eastAsia"/>
        </w:rPr>
        <w:t>期望值E(.), 方差Var（.），协方差Cov（.）和相关系数</w:t>
      </w:r>
    </w:p>
    <w:p>
      <w:r>
        <w:rPr>
          <w:rFonts w:hint="eastAsia"/>
        </w:rPr>
        <w:t>如果两变量在状态k取值</w:t>
      </w:r>
      <w:r>
        <w:rPr>
          <w:position w:val="-10"/>
        </w:rPr>
        <w:object>
          <v:shape id="_x0000_i1217" o:spt="75" type="#_x0000_t75" style="height:17.35pt;width:14.8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3" ShapeID="_x0000_i1217" DrawAspect="Content" ObjectID="_1468075917" r:id="rId376">
            <o:LockedField>false</o:LockedField>
          </o:OLEObject>
        </w:object>
      </w:r>
      <w:r>
        <w:rPr>
          <w:rFonts w:hint="eastAsia"/>
        </w:rPr>
        <w:t>和</w:t>
      </w:r>
      <w:r>
        <w:rPr>
          <w:position w:val="-10"/>
        </w:rPr>
        <w:object>
          <v:shape id="_x0000_i1218" o:spt="75" type="#_x0000_t75" style="height:17.35pt;width:14.8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3" ShapeID="_x0000_i1218" DrawAspect="Content" ObjectID="_1468075918" r:id="rId378">
            <o:LockedField>false</o:LockedField>
          </o:OLEObject>
        </w:object>
      </w:r>
      <w:r>
        <w:rPr>
          <w:rFonts w:hint="eastAsia"/>
        </w:rPr>
        <w:t>的概率为</w:t>
      </w:r>
      <w:r>
        <w:rPr>
          <w:position w:val="-10"/>
        </w:rPr>
        <w:object>
          <v:shape id="_x0000_i1219" o:spt="75" type="#_x0000_t75" style="height:17.35pt;width:14.3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3" ShapeID="_x0000_i1219" DrawAspect="Content" ObjectID="_1468075919" r:id="rId380">
            <o:LockedField>false</o:LockedField>
          </o:OLEObject>
        </w:object>
      </w:r>
      <w:r>
        <w:rPr>
          <w:rFonts w:hint="eastAsia"/>
          <w:i/>
          <w:iCs/>
          <w:vertAlign w:val="subscript"/>
        </w:rPr>
        <w:t>，</w:t>
      </w:r>
      <w:r>
        <w:rPr>
          <w:rFonts w:hint="eastAsia"/>
        </w:rPr>
        <w:t>，两随机变量X 和Y 的相关系数Corr（.）</w:t>
      </w:r>
    </w:p>
    <w:p>
      <w:pPr>
        <w:spacing w:before="120"/>
        <w:ind w:firstLine="567"/>
        <w:jc w:val="center"/>
      </w:pPr>
      <w:r>
        <w:rPr>
          <w:position w:val="-30"/>
        </w:rPr>
        <w:object>
          <v:shape id="_x0000_i1220" o:spt="75" type="#_x0000_t75" style="height:36.75pt;width:195.05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3" ShapeID="_x0000_i1220" DrawAspect="Content" ObjectID="_1468075920" r:id="rId382">
            <o:LockedField>false</o:LockedField>
          </o:OLEObject>
        </w:object>
      </w:r>
    </w:p>
    <w:p>
      <w:pPr>
        <w:spacing w:before="120"/>
        <w:ind w:firstLine="567"/>
        <w:jc w:val="center"/>
      </w:pPr>
      <w:r>
        <w:rPr>
          <w:position w:val="-30"/>
        </w:rPr>
        <w:object>
          <v:shape id="_x0000_i1221" o:spt="75" type="#_x0000_t75" style="height:36.75pt;width:359.5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3" ShapeID="_x0000_i1221" DrawAspect="Content" ObjectID="_1468075921" r:id="rId384">
            <o:LockedField>false</o:LockedField>
          </o:OLEObject>
        </w:object>
      </w:r>
    </w:p>
    <w:p>
      <w:pPr>
        <w:spacing w:before="120"/>
        <w:ind w:firstLine="567"/>
        <w:jc w:val="center"/>
        <w:rPr>
          <w:szCs w:val="21"/>
        </w:rPr>
      </w:pPr>
      <w:r>
        <w:rPr>
          <w:position w:val="-30"/>
        </w:rPr>
        <w:object>
          <v:shape id="_x0000_i1222" o:spt="75" type="#_x0000_t75" style="height:36.75pt;width:393.2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3" ShapeID="_x0000_i1222" DrawAspect="Content" ObjectID="_1468075922" r:id="rId386">
            <o:LockedField>false</o:LockedField>
          </o:OLEObject>
        </w:object>
      </w:r>
      <w:r>
        <w:rPr>
          <w:position w:val="-30"/>
        </w:rPr>
        <w:object>
          <v:shape id="_x0000_i1223" o:spt="75" type="#_x0000_t75" style="height:36.25pt;width:113.35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3" ShapeID="_x0000_i1223" DrawAspect="Content" ObjectID="_1468075923" r:id="rId388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left="405" w:firstLine="30"/>
        <w:rPr>
          <w:szCs w:val="21"/>
        </w:rPr>
      </w:pPr>
      <w:r>
        <w:rPr>
          <w:position w:val="-10"/>
          <w:szCs w:val="21"/>
          <w:vertAlign w:val="subscript"/>
        </w:rPr>
        <w:object>
          <v:shape id="_x0000_i1224" o:spt="75" type="#_x0000_t75" style="height:17.35pt;width:14.3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3" ShapeID="_x0000_i1224" DrawAspect="Content" ObjectID="_1468075924" r:id="rId390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rFonts w:hint="eastAsia"/>
          <w:szCs w:val="21"/>
        </w:rPr>
        <w:t>处于状态</w:t>
      </w:r>
      <w:r>
        <w:rPr>
          <w:szCs w:val="21"/>
        </w:rPr>
        <w:t>k</w:t>
      </w:r>
      <w:r>
        <w:rPr>
          <w:rFonts w:hint="eastAsia"/>
          <w:szCs w:val="21"/>
        </w:rPr>
        <w:t>的概率，</w:t>
      </w:r>
      <w:r>
        <w:rPr>
          <w:position w:val="-30"/>
          <w:sz w:val="22"/>
        </w:rPr>
        <w:object>
          <v:shape id="_x0000_i1225" o:spt="75" type="#_x0000_t75" style="height:36.75pt;width:51.05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3" ShapeID="_x0000_i1225" DrawAspect="Content" ObjectID="_1468075925" r:id="rId392">
            <o:LockedField>false</o:LockedField>
          </o:OLEObject>
        </w:object>
      </w:r>
    </w:p>
    <w:p>
      <w:pPr>
        <w:ind w:firstLine="435"/>
        <w:rPr>
          <w:szCs w:val="21"/>
        </w:rPr>
      </w:pPr>
      <w:r>
        <w:rPr>
          <w:position w:val="-10"/>
          <w:szCs w:val="21"/>
          <w:vertAlign w:val="subscript"/>
        </w:rPr>
        <w:object>
          <v:shape id="_x0000_i1226" o:spt="75" type="#_x0000_t75" style="height:17.35pt;width:14.8pt;" o:ole="t" filled="f" o:preferrelative="t" stroked="f" coordsize="21600,21600">
            <v:path/>
            <v:fill on="f" focussize="0,0"/>
            <v:stroke on="f" joinstyle="miter"/>
            <v:imagedata r:id="rId395" o:title=""/>
            <o:lock v:ext="edit" aspectratio="t"/>
            <w10:wrap type="none"/>
            <w10:anchorlock/>
          </v:shape>
          <o:OLEObject Type="Embed" ProgID="Equation.3" ShapeID="_x0000_i1226" DrawAspect="Content" ObjectID="_1468075926" r:id="rId394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rFonts w:hint="eastAsia"/>
          <w:szCs w:val="21"/>
        </w:rPr>
        <w:t>状态</w:t>
      </w:r>
      <w:r>
        <w:rPr>
          <w:szCs w:val="21"/>
        </w:rPr>
        <w:t>k</w:t>
      </w:r>
      <w:r>
        <w:rPr>
          <w:rFonts w:hint="eastAsia"/>
          <w:szCs w:val="21"/>
        </w:rPr>
        <w:t>时</w:t>
      </w:r>
      <w:r>
        <w:rPr>
          <w:szCs w:val="21"/>
        </w:rPr>
        <w:t>X</w:t>
      </w:r>
      <w:r>
        <w:rPr>
          <w:rFonts w:hint="eastAsia"/>
          <w:szCs w:val="21"/>
        </w:rPr>
        <w:t>的值</w:t>
      </w:r>
    </w:p>
    <w:p>
      <w:pPr>
        <w:ind w:firstLine="435"/>
        <w:rPr>
          <w:szCs w:val="21"/>
        </w:rPr>
      </w:pPr>
      <w:r>
        <w:rPr>
          <w:position w:val="-10"/>
          <w:szCs w:val="21"/>
          <w:vertAlign w:val="subscript"/>
        </w:rPr>
        <w:object>
          <v:shape id="_x0000_i1227" o:spt="75" type="#_x0000_t75" style="height:17.35pt;width:14.8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3" ShapeID="_x0000_i1227" DrawAspect="Content" ObjectID="_1468075927" r:id="rId396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rFonts w:hint="eastAsia"/>
          <w:szCs w:val="21"/>
        </w:rPr>
        <w:t>状态</w:t>
      </w:r>
      <w:r>
        <w:rPr>
          <w:szCs w:val="21"/>
        </w:rPr>
        <w:t>k</w:t>
      </w:r>
      <w:r>
        <w:rPr>
          <w:rFonts w:hint="eastAsia"/>
          <w:szCs w:val="21"/>
        </w:rPr>
        <w:t>时</w:t>
      </w:r>
      <w:r>
        <w:rPr>
          <w:szCs w:val="21"/>
        </w:rPr>
        <w:t>Y</w:t>
      </w:r>
      <w:r>
        <w:rPr>
          <w:rFonts w:hint="eastAsia"/>
          <w:szCs w:val="21"/>
        </w:rPr>
        <w:t>的值</w:t>
      </w:r>
    </w:p>
    <w:p>
      <w:pPr>
        <w:ind w:left="405" w:firstLine="30"/>
        <w:rPr>
          <w:szCs w:val="21"/>
        </w:rPr>
      </w:pPr>
      <w:r>
        <w:rPr>
          <w:szCs w:val="21"/>
        </w:rPr>
        <w:t xml:space="preserve">K   </w:t>
      </w:r>
      <w:r>
        <w:rPr>
          <w:szCs w:val="21"/>
        </w:rPr>
        <w:tab/>
      </w:r>
      <w:r>
        <w:rPr>
          <w:rFonts w:hint="eastAsia"/>
          <w:szCs w:val="21"/>
        </w:rPr>
        <w:t>可能状态的数量</w:t>
      </w:r>
    </w:p>
    <w:p>
      <w:r>
        <w:rPr>
          <w:rFonts w:hint="eastAsia"/>
        </w:rPr>
        <w:t>两随机变量</w:t>
      </w:r>
      <w:r>
        <w:t>X</w:t>
      </w:r>
      <w:r>
        <w:rPr>
          <w:rFonts w:hint="eastAsia"/>
        </w:rPr>
        <w:t>和</w:t>
      </w:r>
      <w:r>
        <w:t xml:space="preserve">Y </w:t>
      </w:r>
      <w:r>
        <w:rPr>
          <w:rFonts w:hint="eastAsia"/>
        </w:rPr>
        <w:t>，样本包括</w:t>
      </w:r>
      <w:r>
        <w:t>N</w:t>
      </w:r>
      <w:r>
        <w:rPr>
          <w:rFonts w:hint="eastAsia"/>
        </w:rPr>
        <w:t>个</w:t>
      </w:r>
      <w:r>
        <w:rPr>
          <w:position w:val="-10"/>
          <w:vertAlign w:val="subscript"/>
        </w:rPr>
        <w:object>
          <v:shape id="_x0000_i1228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3" ShapeID="_x0000_i1228" DrawAspect="Content" ObjectID="_1468075928" r:id="rId398">
            <o:LockedField>false</o:LockedField>
          </o:OLEObject>
        </w:object>
      </w:r>
      <w:r>
        <w:rPr>
          <w:rFonts w:hint="eastAsia"/>
        </w:rPr>
        <w:t>和</w:t>
      </w:r>
      <w:r>
        <w:rPr>
          <w:position w:val="-10"/>
          <w:vertAlign w:val="subscript"/>
        </w:rPr>
        <w:object>
          <v:shape id="_x0000_i1229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401" o:title=""/>
            <o:lock v:ext="edit" aspectratio="t"/>
            <w10:wrap type="none"/>
            <w10:anchorlock/>
          </v:shape>
          <o:OLEObject Type="Embed" ProgID="Equation.3" ShapeID="_x0000_i1229" DrawAspect="Content" ObjectID="_1468075929" r:id="rId400">
            <o:LockedField>false</o:LockedField>
          </o:OLEObject>
        </w:object>
      </w:r>
      <w:r>
        <w:rPr>
          <w:vertAlign w:val="subscript"/>
        </w:rPr>
        <w:t>.</w:t>
      </w:r>
      <w:r>
        <w:rPr>
          <w:rFonts w:hint="eastAsia"/>
        </w:rPr>
        <w:t>的观测值，求其</w:t>
      </w:r>
      <w:r>
        <w:rPr>
          <w:rFonts w:hint="eastAsia"/>
          <w:b/>
        </w:rPr>
        <w:t>均值</w:t>
      </w:r>
      <w:r>
        <w:rPr>
          <w:b/>
        </w:rPr>
        <w:t>E</w:t>
      </w:r>
      <w:r>
        <w:rPr>
          <w:rFonts w:hint="eastAsia"/>
          <w:b/>
        </w:rPr>
        <w:t>（</w:t>
      </w:r>
      <w:r>
        <w:rPr>
          <w:b/>
        </w:rPr>
        <w:t>.</w:t>
      </w:r>
      <w:r>
        <w:rPr>
          <w:rFonts w:hint="eastAsia"/>
          <w:b/>
        </w:rPr>
        <w:t>），方差</w:t>
      </w:r>
      <w:r>
        <w:rPr>
          <w:b/>
        </w:rPr>
        <w:t xml:space="preserve">Var (.), </w:t>
      </w:r>
      <w:r>
        <w:rPr>
          <w:rFonts w:hint="eastAsia"/>
          <w:b/>
        </w:rPr>
        <w:t>协方差</w:t>
      </w:r>
      <w:r>
        <w:rPr>
          <w:b/>
        </w:rPr>
        <w:t>Cov</w:t>
      </w:r>
      <w:r>
        <w:rPr>
          <w:rFonts w:hint="eastAsia"/>
          <w:b/>
        </w:rPr>
        <w:t>（</w:t>
      </w:r>
      <w:r>
        <w:rPr>
          <w:b/>
        </w:rPr>
        <w:t>.</w:t>
      </w:r>
      <w:r>
        <w:rPr>
          <w:rFonts w:hint="eastAsia"/>
          <w:b/>
        </w:rPr>
        <w:t>）</w:t>
      </w:r>
    </w:p>
    <w:p>
      <w:pPr>
        <w:jc w:val="center"/>
        <w:rPr>
          <w:szCs w:val="21"/>
        </w:rPr>
      </w:pPr>
      <w:r>
        <w:rPr>
          <w:position w:val="-68"/>
          <w:sz w:val="20"/>
        </w:rPr>
        <w:object>
          <v:shape id="_x0000_i1230" o:spt="75" type="#_x0000_t75" style="height:73.55pt;width:282.9pt;" o:ole="t" filled="f" o:preferrelative="t" stroked="f" coordsize="21600,21600">
            <v:path/>
            <v:fill on="f" focussize="0,0"/>
            <v:stroke on="f" joinstyle="miter"/>
            <v:imagedata r:id="rId403" o:title=""/>
            <o:lock v:ext="edit" aspectratio="t"/>
            <w10:wrap type="none"/>
            <w10:anchorlock/>
          </v:shape>
          <o:OLEObject Type="Embed" ProgID="Equation.3" ShapeID="_x0000_i1230" DrawAspect="Content" ObjectID="_1468075930" r:id="rId402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position w:val="-10"/>
          <w:szCs w:val="21"/>
          <w:vertAlign w:val="subscript"/>
        </w:rPr>
        <w:object>
          <v:shape id="_x0000_i1231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405" o:title=""/>
            <o:lock v:ext="edit" aspectratio="t"/>
            <w10:wrap type="none"/>
            <w10:anchorlock/>
          </v:shape>
          <o:OLEObject Type="Embed" ProgID="Equation.3" ShapeID="_x0000_i1231" DrawAspect="Content" ObjectID="_1468075931" r:id="rId404">
            <o:LockedField>false</o:LockedField>
          </o:OLEObject>
        </w:object>
      </w:r>
      <w:r>
        <w:rPr>
          <w:rFonts w:hint="eastAsia"/>
          <w:szCs w:val="21"/>
          <w:vertAlign w:val="subscript"/>
        </w:rPr>
        <w:t>,</w:t>
      </w:r>
      <w:r>
        <w:rPr>
          <w:position w:val="-10"/>
          <w:szCs w:val="21"/>
          <w:vertAlign w:val="subscript"/>
        </w:rPr>
        <w:object>
          <v:shape id="_x0000_i1232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3" ShapeID="_x0000_i1232" DrawAspect="Content" ObjectID="_1468075932" r:id="rId406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position w:val="-10"/>
          <w:szCs w:val="21"/>
          <w:vertAlign w:val="subscript"/>
        </w:rPr>
        <w:tab/>
      </w:r>
      <w:r>
        <w:rPr>
          <w:rFonts w:hint="eastAsia"/>
          <w:szCs w:val="21"/>
        </w:rPr>
        <w:t>观测值i</w:t>
      </w:r>
    </w:p>
    <w:p>
      <w:pPr>
        <w:ind w:firstLine="435"/>
        <w:rPr>
          <w:szCs w:val="21"/>
        </w:rPr>
      </w:pPr>
      <w:r>
        <w:rPr>
          <w:position w:val="-10"/>
          <w:szCs w:val="21"/>
        </w:rPr>
        <w:object>
          <v:shape id="_x0000_i1233" o:spt="75" type="#_x0000_t75" style="height:14.8pt;width:28.6pt;" o:ole="t" filled="f" o:preferrelative="t" stroked="f" coordsize="21600,21600">
            <v:path/>
            <v:fill on="f" focussize="0,0"/>
            <v:stroke on="f" joinstyle="miter"/>
            <v:imagedata r:id="rId409" o:title=""/>
            <o:lock v:ext="edit" aspectratio="t"/>
            <w10:wrap type="none"/>
            <w10:anchorlock/>
          </v:shape>
          <o:OLEObject Type="Embed" ProgID="Equation.3" ShapeID="_x0000_i1233" DrawAspect="Content" ObjectID="_1468075933" r:id="rId408">
            <o:LockedField>false</o:LockedField>
          </o:OLEObject>
        </w:object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X和Y的均值</w:t>
      </w:r>
    </w:p>
    <w:p>
      <w:pPr>
        <w:ind w:firstLine="435"/>
        <w:rPr>
          <w:szCs w:val="21"/>
        </w:rPr>
      </w:pPr>
      <w:r>
        <w:rPr>
          <w:szCs w:val="21"/>
          <w:vertAlign w:val="subscript"/>
        </w:rPr>
        <w:drawing>
          <wp:inline distT="0" distB="0" distL="0" distR="0">
            <wp:extent cx="400050" cy="142875"/>
            <wp:effectExtent l="0" t="0" r="0" b="0"/>
            <wp:docPr id="2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1"/>
                    <pic:cNvPicPr>
                      <a:picLocks noChangeAspect="1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标准差</w:t>
      </w:r>
    </w:p>
    <w:p>
      <w:pPr>
        <w:ind w:firstLine="435"/>
        <w:rPr>
          <w:szCs w:val="21"/>
        </w:rPr>
      </w:pPr>
      <w:r>
        <w:rPr>
          <w:szCs w:val="21"/>
          <w:vertAlign w:val="subscript"/>
        </w:rPr>
        <w:drawing>
          <wp:inline distT="0" distB="0" distL="0" distR="0">
            <wp:extent cx="323850" cy="171450"/>
            <wp:effectExtent l="0" t="0" r="0" b="0"/>
            <wp:docPr id="2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X 和Y 的协方差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N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观测值的数量</w:t>
      </w:r>
    </w:p>
    <w:p>
      <w:pPr>
        <w:rPr>
          <w:szCs w:val="21"/>
        </w:rPr>
      </w:pPr>
    </w:p>
    <w:p>
      <w:pPr>
        <w:pStyle w:val="5"/>
        <w:rPr>
          <w:lang w:eastAsia="zh-CN"/>
        </w:rPr>
      </w:pPr>
      <w:r>
        <w:rPr>
          <w:lang w:eastAsia="zh-CN"/>
        </w:rPr>
        <w:t>1.</w:t>
      </w:r>
      <w:r>
        <w:rPr>
          <w:rFonts w:hint="eastAsia"/>
          <w:lang w:eastAsia="zh-CN"/>
        </w:rPr>
        <w:t>2</w:t>
      </w:r>
      <w:r>
        <w:rPr>
          <w:lang w:eastAsia="zh-CN"/>
        </w:rPr>
        <w:t>.2</w:t>
      </w:r>
      <w:r>
        <w:rPr>
          <w:rFonts w:hint="eastAsia"/>
          <w:lang w:eastAsia="zh-CN"/>
        </w:rPr>
        <w:t>正态分布</w:t>
      </w:r>
    </w:p>
    <w:p>
      <w:pPr>
        <w:rPr>
          <w:szCs w:val="21"/>
        </w:rPr>
      </w:pPr>
      <w:r>
        <w:rPr>
          <w:rFonts w:hint="eastAsia"/>
          <w:szCs w:val="21"/>
        </w:rPr>
        <w:t>它的概率密度由下式给出</w:t>
      </w:r>
    </w:p>
    <w:p>
      <w:pPr>
        <w:jc w:val="center"/>
        <w:rPr>
          <w:szCs w:val="21"/>
        </w:rPr>
      </w:pPr>
      <w:r>
        <w:rPr>
          <w:position w:val="-28"/>
          <w:sz w:val="20"/>
        </w:rPr>
        <w:object>
          <v:shape id="_x0000_i1234" o:spt="75" type="#_x0000_t75" style="height:41.85pt;width:123.05pt;" o:ole="t" filled="f" o:preferrelative="t" stroked="f" coordsize="21600,21600">
            <v:path/>
            <v:fill on="f" focussize="0,0"/>
            <v:stroke on="f" joinstyle="miter"/>
            <v:imagedata r:id="rId413" o:title=""/>
            <o:lock v:ext="edit" aspectratio="t"/>
            <w10:wrap type="none"/>
            <w10:anchorlock/>
          </v:shape>
          <o:OLEObject Type="Embed" ProgID="Equation.3" ShapeID="_x0000_i1234" DrawAspect="Content" ObjectID="_1468075934" r:id="rId412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x   </w:t>
      </w:r>
      <w:r>
        <w:rPr>
          <w:szCs w:val="21"/>
        </w:rPr>
        <w:tab/>
      </w:r>
      <w:r>
        <w:rPr>
          <w:rFonts w:hint="eastAsia"/>
          <w:szCs w:val="21"/>
        </w:rPr>
        <w:t>变量的值</w:t>
      </w:r>
    </w:p>
    <w:p>
      <w:pPr>
        <w:ind w:firstLine="435"/>
        <w:rPr>
          <w:szCs w:val="21"/>
        </w:rPr>
      </w:pPr>
      <w:r>
        <w:rPr>
          <w:szCs w:val="21"/>
        </w:rPr>
        <w:t>μ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rFonts w:hint="eastAsia"/>
          <w:szCs w:val="21"/>
        </w:rPr>
        <w:t>该分布的均值</w:t>
      </w:r>
    </w:p>
    <w:p>
      <w:pPr>
        <w:ind w:firstLine="435"/>
        <w:rPr>
          <w:szCs w:val="21"/>
        </w:rPr>
      </w:pPr>
      <w:r>
        <w:rPr>
          <w:szCs w:val="21"/>
        </w:rPr>
        <w:t>σ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rFonts w:hint="eastAsia"/>
          <w:szCs w:val="21"/>
        </w:rPr>
        <w:t>标准差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计算波动率</w:t>
      </w:r>
    </w:p>
    <w:p>
      <w:pPr>
        <w:jc w:val="center"/>
        <w:rPr>
          <w:szCs w:val="21"/>
        </w:rPr>
      </w:pPr>
      <w:r>
        <w:object>
          <v:shape id="_x0000_i1235" o:spt="75" type="#_x0000_t75" style="height:41.35pt;width:209.3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3" ShapeID="_x0000_i1235" DrawAspect="Content" ObjectID="_1468075935" r:id="rId414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position w:val="-6"/>
        </w:rPr>
        <w:object>
          <v:shape id="_x0000_i1236" o:spt="75" type="#_x0000_t75" style="height:11.25pt;width:12.25pt;" o:ole="t" filled="f" o:preferrelative="t" stroked="f" coordsize="21600,21600">
            <v:path/>
            <v:fill on="f" focussize="0,0"/>
            <v:stroke on="f" joinstyle="miter"/>
            <v:imagedata r:id="rId417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16">
            <o:LockedField>false</o:LockedField>
          </o:OLEObject>
        </w:object>
      </w:r>
      <w:r>
        <w:rPr>
          <w:rFonts w:hint="eastAsia"/>
          <w:szCs w:val="21"/>
        </w:rPr>
        <w:t xml:space="preserve">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回报率的标准差（波动率）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N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观测值的数目</w:t>
      </w:r>
    </w:p>
    <w:p>
      <w:pPr>
        <w:ind w:firstLine="534" w:firstLineChars="267"/>
        <w:rPr>
          <w:szCs w:val="21"/>
        </w:rPr>
      </w:pPr>
      <w:r>
        <w:rPr>
          <w:position w:val="-30"/>
          <w:sz w:val="20"/>
        </w:rPr>
        <w:object>
          <v:shape id="_x0000_i1237" o:spt="75" type="#_x0000_t75" style="height:36.25pt;width:58.7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3" ShapeID="_x0000_i1237" DrawAspect="Content" ObjectID="_1468075937" r:id="rId418">
            <o:LockedField>false</o:LockedField>
          </o:OLEObject>
        </w:object>
      </w:r>
      <w:r>
        <w:rPr>
          <w:rFonts w:hint="eastAsia"/>
          <w:position w:val="-30"/>
          <w:sz w:val="20"/>
        </w:rPr>
        <w:t xml:space="preserve">   </w:t>
      </w:r>
      <w:r>
        <w:rPr>
          <w:position w:val="-30"/>
          <w:sz w:val="20"/>
        </w:rPr>
        <w:tab/>
      </w:r>
      <w:r>
        <w:rPr>
          <w:rFonts w:hint="eastAsia"/>
          <w:szCs w:val="21"/>
        </w:rPr>
        <w:t>资产P经过t期之后的连续复利回报率</w:t>
      </w:r>
    </w:p>
    <w:p>
      <w:pPr>
        <w:rPr>
          <w:szCs w:val="21"/>
        </w:rPr>
      </w:pPr>
    </w:p>
    <w:p>
      <w:pPr>
        <w:pStyle w:val="7"/>
        <w:rPr>
          <w:lang w:eastAsia="zh-CN"/>
        </w:rPr>
      </w:pPr>
      <w:r>
        <w:rPr>
          <w:rFonts w:hint="eastAsia"/>
          <w:lang w:eastAsia="zh-CN"/>
        </w:rPr>
        <w:t>年化波动率</w:t>
      </w:r>
    </w:p>
    <w:p>
      <w:pPr>
        <w:rPr>
          <w:szCs w:val="21"/>
        </w:rPr>
      </w:pPr>
      <w:r>
        <w:rPr>
          <w:rFonts w:hint="eastAsia"/>
          <w:szCs w:val="21"/>
        </w:rPr>
        <w:t>通式</w:t>
      </w:r>
    </w:p>
    <w:p>
      <w:pPr>
        <w:jc w:val="center"/>
        <w:rPr>
          <w:szCs w:val="21"/>
        </w:rPr>
      </w:pPr>
      <w:r>
        <w:rPr>
          <w:position w:val="-26"/>
        </w:rPr>
        <w:object>
          <v:shape id="_x0000_i1238" o:spt="75" type="#_x0000_t75" style="height:35.25pt;width:64.35pt;" o:ole="t" filled="f" o:preferrelative="t" stroked="f" coordsize="21600,21600">
            <v:path/>
            <v:fill on="f" focussize="0,0"/>
            <v:stroke on="f" joinstyle="miter"/>
            <v:imagedata r:id="rId421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20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position w:val="-12"/>
        </w:rPr>
        <w:object>
          <v:shape id="_x0000_i1239" o:spt="75" type="#_x0000_t75" style="height:17.85pt;width:15.85pt;" o:ole="t" filled="f" o:preferrelative="t" stroked="f" coordsize="21600,21600">
            <v:path/>
            <v:fill on="f" focussize="0,0"/>
            <v:stroke on="f" joinstyle="miter"/>
            <v:imagedata r:id="rId423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22">
            <o:LockedField>false</o:LockedField>
          </o:OLEObject>
        </w:object>
      </w:r>
      <w:r>
        <w:tab/>
      </w:r>
      <w:r>
        <w:tab/>
      </w:r>
      <w:r>
        <w:rPr>
          <w:rFonts w:hint="eastAsia"/>
          <w:szCs w:val="21"/>
        </w:rPr>
        <w:t>经过长度为</w:t>
      </w:r>
      <w:r>
        <w:rPr>
          <w:szCs w:val="21"/>
        </w:rPr>
        <w:t>T</w:t>
      </w:r>
      <w:r>
        <w:rPr>
          <w:rFonts w:hint="eastAsia"/>
          <w:szCs w:val="21"/>
        </w:rPr>
        <w:t>时期的回报波动率</w:t>
      </w:r>
    </w:p>
    <w:p>
      <w:pPr>
        <w:ind w:firstLine="435"/>
        <w:rPr>
          <w:szCs w:val="21"/>
        </w:rPr>
      </w:pPr>
      <w:r>
        <w:rPr>
          <w:szCs w:val="21"/>
        </w:rPr>
        <w:t>σ</w:t>
      </w:r>
      <w:r>
        <w:rPr>
          <w:szCs w:val="21"/>
          <w:vertAlign w:val="subscript"/>
        </w:rPr>
        <w:t>t</w:t>
      </w:r>
      <w:r>
        <w:rPr>
          <w:rFonts w:hint="eastAsia"/>
          <w:szCs w:val="21"/>
          <w:vertAlign w:val="subscript"/>
        </w:rPr>
        <w:t xml:space="preserve">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经过长度为</w:t>
      </w:r>
      <w:r>
        <w:rPr>
          <w:szCs w:val="21"/>
        </w:rPr>
        <w:t>t</w:t>
      </w:r>
      <w:r>
        <w:rPr>
          <w:rFonts w:hint="eastAsia"/>
          <w:szCs w:val="21"/>
        </w:rPr>
        <w:t>时期的回报波动率</w:t>
      </w:r>
    </w:p>
    <w:p>
      <w:pPr>
        <w:ind w:firstLine="435"/>
        <w:rPr>
          <w:szCs w:val="21"/>
        </w:rPr>
      </w:pPr>
      <w:r>
        <w:rPr>
          <w:szCs w:val="21"/>
        </w:rPr>
        <w:t>t,T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时期长度(</w:t>
      </w:r>
      <w:r>
        <w:rPr>
          <w:szCs w:val="21"/>
        </w:rPr>
        <w:t>t&lt;T)</w:t>
      </w:r>
    </w:p>
    <w:p>
      <w:r>
        <w:rPr>
          <w:rFonts w:hint="eastAsia"/>
        </w:rPr>
        <w:t>年化波动率的典型比例因子：</w:t>
      </w:r>
    </w:p>
    <w:p>
      <w:pPr>
        <w:ind w:firstLine="435"/>
      </w:pPr>
      <w:r>
        <w:rPr>
          <w:rFonts w:hint="eastAsia"/>
          <w:szCs w:val="21"/>
        </w:rPr>
        <w:t>日度</w:t>
      </w:r>
      <w:r>
        <w:rPr>
          <w:szCs w:val="21"/>
        </w:rPr>
        <w:sym w:font="Wingdings" w:char="F0E0"/>
      </w:r>
      <w:r>
        <w:rPr>
          <w:rFonts w:hint="eastAsia"/>
          <w:szCs w:val="21"/>
        </w:rPr>
        <w:t>年化</w:t>
      </w:r>
      <w:r>
        <w:rPr>
          <w:position w:val="-26"/>
        </w:rPr>
        <w:object>
          <v:shape id="_x0000_i1240" o:spt="75" type="#_x0000_t75" style="height:35.25pt;width:33.2pt;" o:ole="t" filled="f" o:preferrelative="t" stroked="f" coordsize="21600,21600">
            <v:path/>
            <v:fill on="f" focussize="0,0"/>
            <v:stroke on="f" joinstyle="miter"/>
            <v:imagedata r:id="rId425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24">
            <o:LockedField>false</o:LockedField>
          </o:OLEObject>
        </w:object>
      </w:r>
    </w:p>
    <w:p>
      <w:pPr>
        <w:ind w:firstLine="435"/>
      </w:pPr>
      <w:r>
        <w:rPr>
          <w:rFonts w:hint="eastAsia"/>
          <w:szCs w:val="21"/>
        </w:rPr>
        <w:t>周度</w:t>
      </w:r>
      <w:r>
        <w:rPr>
          <w:rFonts w:hint="eastAsia"/>
          <w:szCs w:val="21"/>
        </w:rPr>
        <w:sym w:font="Wingdings" w:char="F0E0"/>
      </w:r>
      <w:r>
        <w:rPr>
          <w:rFonts w:hint="eastAsia"/>
          <w:szCs w:val="21"/>
        </w:rPr>
        <w:t>年化</w:t>
      </w:r>
      <w:r>
        <w:rPr>
          <w:position w:val="-26"/>
        </w:rPr>
        <w:object>
          <v:shape id="_x0000_i1241" o:spt="75" type="#_x0000_t75" style="height:35.25pt;width:26.05pt;" o:ole="t" filled="f" o:preferrelative="t" stroked="f" coordsize="21600,21600">
            <v:path/>
            <v:fill on="f" focussize="0,0"/>
            <v:stroke on="f" joinstyle="miter"/>
            <v:imagedata r:id="rId427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26">
            <o:LockedField>false</o:LockedField>
          </o:OLEObject>
        </w:object>
      </w:r>
    </w:p>
    <w:p>
      <w:pPr>
        <w:ind w:firstLine="435"/>
      </w:pPr>
      <w:r>
        <w:rPr>
          <w:rFonts w:hint="eastAsia"/>
          <w:szCs w:val="21"/>
        </w:rPr>
        <w:t>月度</w:t>
      </w:r>
      <w:r>
        <w:rPr>
          <w:rFonts w:hint="eastAsia"/>
          <w:szCs w:val="21"/>
        </w:rPr>
        <w:sym w:font="Wingdings" w:char="F0E0"/>
      </w:r>
      <w:r>
        <w:rPr>
          <w:rFonts w:hint="eastAsia"/>
          <w:szCs w:val="21"/>
        </w:rPr>
        <w:t>年化</w:t>
      </w:r>
      <w:r>
        <w:rPr>
          <w:position w:val="-26"/>
        </w:rPr>
        <w:object>
          <v:shape id="_x0000_i1242" o:spt="75" type="#_x0000_t75" style="height:35.25pt;width:24.5pt;" o:ole="t" filled="f" o:preferrelative="t" stroked="f" coordsize="21600,21600">
            <v:path/>
            <v:fill on="f" focussize="0,0"/>
            <v:stroke on="f" joinstyle="miter"/>
            <v:imagedata r:id="rId429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28">
            <o:LockedField>false</o:LockedField>
          </o:OLEObject>
        </w:objec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季度</w:t>
      </w:r>
      <w:r>
        <w:rPr>
          <w:szCs w:val="21"/>
        </w:rPr>
        <w:sym w:font="Wingdings" w:char="F0E0"/>
      </w:r>
      <w:r>
        <w:rPr>
          <w:rFonts w:hint="eastAsia"/>
          <w:szCs w:val="21"/>
        </w:rPr>
        <w:t>年化</w:t>
      </w:r>
      <w:r>
        <w:rPr>
          <w:position w:val="-26"/>
        </w:rPr>
        <w:object>
          <v:shape id="_x0000_i1243" o:spt="75" type="#_x0000_t75" style="height:35.25pt;width:20.95pt;" o:ole="t" filled="f" o:preferrelative="t" stroked="f" coordsize="21600,21600">
            <v:path/>
            <v:fill on="f" focussize="0,0"/>
            <v:stroke on="f" joinstyle="miter"/>
            <v:imagedata r:id="rId431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30">
            <o:LockedField>false</o:LockedField>
          </o:OLEObject>
        </w:object>
      </w:r>
    </w:p>
    <w:p>
      <w:pPr>
        <w:ind w:firstLine="420" w:firstLineChars="200"/>
        <w:rPr>
          <w:strike/>
          <w:szCs w:val="21"/>
        </w:rPr>
      </w:pPr>
    </w:p>
    <w:p>
      <w:pPr>
        <w:pStyle w:val="4"/>
        <w:rPr>
          <w:lang w:eastAsia="zh-CN"/>
        </w:rPr>
      </w:pPr>
      <w:bookmarkStart w:id="37" w:name="_Toc12435"/>
      <w:r>
        <w:rPr>
          <w:rFonts w:hint="eastAsia"/>
          <w:lang w:eastAsia="zh-CN"/>
        </w:rPr>
        <w:t>1.3投资组合理论</w:t>
      </w:r>
      <w:bookmarkEnd w:id="37"/>
    </w:p>
    <w:p>
      <w:pPr>
        <w:pStyle w:val="5"/>
        <w:rPr>
          <w:lang w:eastAsia="zh-CN"/>
        </w:rPr>
      </w:pPr>
      <w:r>
        <w:rPr>
          <w:rFonts w:hint="eastAsia"/>
          <w:lang w:eastAsia="zh-CN"/>
        </w:rPr>
        <w:t>1.3.1 分散化和投资组合风险</w:t>
      </w:r>
    </w:p>
    <w:p>
      <w:pPr>
        <w:pStyle w:val="6"/>
      </w:pPr>
      <w:r>
        <w:rPr>
          <w:rFonts w:hint="eastAsia"/>
        </w:rPr>
        <w:t>投资组合的平均回报和预期回报</w:t>
      </w:r>
    </w:p>
    <w:p>
      <w:pPr>
        <w:pStyle w:val="6"/>
        <w:rPr>
          <w:szCs w:val="21"/>
        </w:rPr>
      </w:pPr>
      <w:r>
        <w:rPr>
          <w:rFonts w:hint="eastAsia"/>
          <w:szCs w:val="21"/>
        </w:rPr>
        <w:t>组合P在时期t内的事后回报</w:t>
      </w:r>
    </w:p>
    <w:p>
      <w:pPr>
        <w:jc w:val="center"/>
        <w:rPr>
          <w:szCs w:val="21"/>
        </w:rPr>
      </w:pPr>
      <w:r>
        <w:rPr>
          <w:b/>
          <w:position w:val="-28"/>
          <w:sz w:val="20"/>
        </w:rPr>
        <w:object>
          <v:shape id="_x0000_i1244" o:spt="75" type="#_x0000_t75" style="height:34.7pt;width:184.35pt;" o:ole="t" filled="f" o:preferrelative="t" stroked="f" coordsize="21600,21600">
            <v:path/>
            <v:fill on="f" focussize="0,0"/>
            <v:stroke on="f" joinstyle="miter"/>
            <v:imagedata r:id="rId433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32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  <w:r>
        <w:rPr>
          <w:position w:val="-12"/>
          <w:sz w:val="20"/>
        </w:rPr>
        <w:object>
          <v:shape id="_x0000_i1245" o:spt="75" type="#_x0000_t75" style="height:18.9pt;width:41.35pt;" o:ole="t" filled="f" o:preferrelative="t" stroked="f" coordsize="21600,21600">
            <v:path/>
            <v:fill on="f" focussize="0,0"/>
            <v:stroke on="f" joinstyle="miter"/>
            <v:imagedata r:id="rId435" o:title=""/>
            <o:lock v:ext="edit" aspectratio="t"/>
            <w10:wrap type="none"/>
            <w10:anchorlock/>
          </v:shape>
          <o:OLEObject Type="Embed" ProgID="Equation.3" ShapeID="_x0000_i1245" DrawAspect="Content" ObjectID="_1468075945" r:id="rId434">
            <o:LockedField>false</o:LockedField>
          </o:OLEObject>
        </w:object>
      </w:r>
      <w:r>
        <w:rPr>
          <w:rFonts w:hint="eastAsia"/>
          <w:szCs w:val="21"/>
        </w:rPr>
        <w:t>，并且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P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投资组合的回报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 xml:space="preserve">i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  <w:szCs w:val="21"/>
        </w:rPr>
        <w:t>资产i的回报</w:t>
      </w:r>
    </w:p>
    <w:p>
      <w:pPr>
        <w:snapToGrid w:val="0"/>
        <w:ind w:firstLine="437"/>
        <w:rPr>
          <w:szCs w:val="21"/>
        </w:rPr>
      </w:pPr>
      <w:r>
        <w:rPr>
          <w:position w:val="-10"/>
          <w:szCs w:val="21"/>
          <w:vertAlign w:val="subscript"/>
        </w:rPr>
        <w:object>
          <v:shape id="_x0000_i1246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437" o:title=""/>
            <o:lock v:ext="edit" aspectratio="t"/>
            <w10:wrap type="none"/>
            <w10:anchorlock/>
          </v:shape>
          <o:OLEObject Type="Embed" ProgID="Equation.3" ShapeID="_x0000_i1246" DrawAspect="Content" ObjectID="_1468075946" r:id="rId436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rFonts w:hint="eastAsia"/>
          <w:szCs w:val="21"/>
        </w:rPr>
        <w:t>投资组合投资于资产i的初始（期间起始）比例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N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投资组合P中不同资产的数量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投资组合的预期回报</w:t>
      </w:r>
    </w:p>
    <w:p>
      <w:pPr>
        <w:jc w:val="center"/>
        <w:rPr>
          <w:szCs w:val="21"/>
        </w:rPr>
      </w:pPr>
      <w:r>
        <w:rPr>
          <w:position w:val="-30"/>
        </w:rPr>
        <w:object>
          <v:shape id="_x0000_i1247" o:spt="75" type="#_x0000_t75" style="height:36.75pt;width:288pt;" o:ole="t" filled="f" o:preferrelative="t" stroked="f" coordsize="21600,21600">
            <v:path/>
            <v:fill on="f" focussize="0,0"/>
            <v:stroke on="f" joinstyle="miter"/>
            <v:imagedata r:id="rId439" o:title=""/>
            <o:lock v:ext="edit" aspectratio="t"/>
            <w10:wrap type="none"/>
            <w10:anchorlock/>
          </v:shape>
          <o:OLEObject Type="Embed" ProgID="Equation.3" ShapeID="_x0000_i1247" DrawAspect="Content" ObjectID="_1468075947" r:id="rId438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E（R</w:t>
      </w:r>
      <w:r>
        <w:rPr>
          <w:rFonts w:hint="eastAsia"/>
          <w:szCs w:val="21"/>
          <w:vertAlign w:val="subscript"/>
        </w:rPr>
        <w:t>P</w:t>
      </w:r>
      <w:r>
        <w:rPr>
          <w:rFonts w:hint="eastAsia"/>
          <w:szCs w:val="21"/>
        </w:rPr>
        <w:t xml:space="preserve">）  </w:t>
      </w:r>
      <w:r>
        <w:rPr>
          <w:szCs w:val="21"/>
        </w:rPr>
        <w:tab/>
      </w:r>
      <w:r>
        <w:rPr>
          <w:rFonts w:hint="eastAsia"/>
          <w:szCs w:val="21"/>
        </w:rPr>
        <w:t>投资组合的预期回报率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>E（R</w:t>
      </w:r>
      <w:r>
        <w:rPr>
          <w:rFonts w:hint="eastAsia"/>
          <w:szCs w:val="21"/>
          <w:vertAlign w:val="subscript"/>
        </w:rPr>
        <w:t>i</w:t>
      </w:r>
      <w:r>
        <w:rPr>
          <w:rFonts w:hint="eastAsia"/>
          <w:szCs w:val="21"/>
        </w:rPr>
        <w:t xml:space="preserve">）  </w:t>
      </w:r>
      <w:r>
        <w:rPr>
          <w:szCs w:val="21"/>
        </w:rPr>
        <w:tab/>
      </w:r>
      <w:r>
        <w:rPr>
          <w:rFonts w:hint="eastAsia"/>
          <w:szCs w:val="21"/>
        </w:rPr>
        <w:t>资产i的预期回报率</w:t>
      </w:r>
    </w:p>
    <w:p>
      <w:pPr>
        <w:ind w:firstLine="435"/>
        <w:rPr>
          <w:szCs w:val="21"/>
        </w:rPr>
      </w:pPr>
      <w:r>
        <w:rPr>
          <w:position w:val="-10"/>
          <w:szCs w:val="21"/>
          <w:vertAlign w:val="subscript"/>
        </w:rPr>
        <w:object>
          <v:shape id="_x0000_i1248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441" o:title=""/>
            <o:lock v:ext="edit" aspectratio="t"/>
            <w10:wrap type="none"/>
            <w10:anchorlock/>
          </v:shape>
          <o:OLEObject Type="Embed" ProgID="Equation.3" ShapeID="_x0000_i1248" DrawAspect="Content" ObjectID="_1468075948" r:id="rId440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position w:val="-10"/>
          <w:szCs w:val="21"/>
          <w:vertAlign w:val="subscript"/>
        </w:rPr>
        <w:tab/>
      </w:r>
      <w:r>
        <w:rPr>
          <w:rFonts w:hint="eastAsia"/>
          <w:szCs w:val="21"/>
        </w:rPr>
        <w:t>投资组合P中资产i的相对比重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N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投资组合P中资产的数量</w:t>
      </w:r>
    </w:p>
    <w:p>
      <w:pPr>
        <w:ind w:firstLine="435"/>
        <w:rPr>
          <w:szCs w:val="21"/>
        </w:rPr>
      </w:pP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投资组合回报的方差</w:t>
      </w:r>
    </w:p>
    <w:p>
      <w:pPr>
        <w:jc w:val="center"/>
        <w:rPr>
          <w:szCs w:val="21"/>
        </w:rPr>
      </w:pPr>
      <w:r>
        <w:rPr>
          <w:position w:val="-34"/>
          <w:sz w:val="20"/>
        </w:rPr>
        <w:object>
          <v:shape id="_x0000_i1249" o:spt="75" type="#_x0000_t75" style="height:38.8pt;width:257.35pt;" o:ole="t" filled="f" o:preferrelative="t" stroked="f" coordsize="21600,21600">
            <v:path/>
            <v:fill on="f" focussize="0,0"/>
            <v:stroke on="f" joinstyle="miter"/>
            <v:imagedata r:id="rId443" o:title=""/>
            <o:lock v:ext="edit" aspectratio="t"/>
            <w10:wrap type="none"/>
            <w10:anchorlock/>
          </v:shape>
          <o:OLEObject Type="Embed" ProgID="Equation.3" ShapeID="_x0000_i1249" DrawAspect="Content" ObjectID="_1468075949" r:id="rId442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szCs w:val="21"/>
          <w:vertAlign w:val="subscript"/>
        </w:rPr>
        <w:drawing>
          <wp:inline distT="0" distB="0" distL="0" distR="0">
            <wp:extent cx="209550" cy="190500"/>
            <wp:effectExtent l="0" t="0" r="0" b="0"/>
            <wp:docPr id="23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5"/>
                    <pic:cNvPicPr>
                      <a:picLocks noChangeAspect="1" noChangeArrowheads="1"/>
                    </pic:cNvPicPr>
                  </pic:nvPicPr>
                  <pic:blipFill>
                    <a:blip r:embed="rId4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投资组合回报的方差</w:t>
      </w:r>
    </w:p>
    <w:p>
      <w:pPr>
        <w:ind w:firstLine="435"/>
        <w:rPr>
          <w:szCs w:val="21"/>
        </w:rPr>
      </w:pPr>
      <w:r>
        <w:rPr>
          <w:szCs w:val="21"/>
          <w:vertAlign w:val="subscript"/>
        </w:rPr>
        <w:drawing>
          <wp:inline distT="0" distB="0" distL="0" distR="0">
            <wp:extent cx="228600" cy="171450"/>
            <wp:effectExtent l="0" t="0" r="0" b="0"/>
            <wp:docPr id="23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6"/>
                    <pic:cNvPicPr>
                      <a:picLocks noChangeAspect="1" noChangeArrowheads="1"/>
                    </pic:cNvPicPr>
                  </pic:nvPicPr>
                  <pic:blipFill>
                    <a:blip r:embed="rId4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资产i 和j回报率之间的协方差</w:t>
      </w:r>
    </w:p>
    <w:p>
      <w:pPr>
        <w:ind w:firstLine="435"/>
        <w:rPr>
          <w:szCs w:val="21"/>
        </w:rPr>
      </w:pPr>
      <w:r>
        <w:rPr>
          <w:szCs w:val="21"/>
          <w:vertAlign w:val="subscript"/>
        </w:rPr>
        <w:drawing>
          <wp:inline distT="0" distB="0" distL="0" distR="0">
            <wp:extent cx="200025" cy="171450"/>
            <wp:effectExtent l="0" t="0" r="0" b="0"/>
            <wp:docPr id="23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图片 7"/>
                    <pic:cNvPicPr>
                      <a:picLocks noChangeAspect="1" noChangeArrowheads="1"/>
                    </pic:cNvPicPr>
                  </pic:nvPicPr>
                  <pic:blipFill>
                    <a:blip r:embed="rId4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资产i 和j回报率之间的相关系数</w:t>
      </w:r>
    </w:p>
    <w:p>
      <w:pPr>
        <w:ind w:firstLine="435"/>
        <w:rPr>
          <w:szCs w:val="21"/>
        </w:rPr>
      </w:pPr>
      <w:r>
        <w:rPr>
          <w:szCs w:val="21"/>
          <w:vertAlign w:val="subscript"/>
        </w:rPr>
        <w:drawing>
          <wp:inline distT="0" distB="0" distL="0" distR="0">
            <wp:extent cx="409575" cy="180975"/>
            <wp:effectExtent l="0" t="0" r="0" b="0"/>
            <wp:docPr id="23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15"/>
                    <pic:cNvPicPr>
                      <a:picLocks noChangeAspect="1" noChangeArrowheads="1"/>
                    </pic:cNvPicPr>
                  </pic:nvPicPr>
                  <pic:blipFill>
                    <a:blip r:embed="rId4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资产i 和j回报率的标准差</w:t>
      </w:r>
    </w:p>
    <w:p>
      <w:pPr>
        <w:ind w:firstLine="435"/>
        <w:rPr>
          <w:szCs w:val="21"/>
        </w:rPr>
      </w:pPr>
      <w:r>
        <w:rPr>
          <w:position w:val="-10"/>
          <w:szCs w:val="21"/>
          <w:vertAlign w:val="subscript"/>
        </w:rPr>
        <w:object>
          <v:shape id="_x0000_i1250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441" o:title=""/>
            <o:lock v:ext="edit" aspectratio="t"/>
            <w10:wrap type="none"/>
            <w10:anchorlock/>
          </v:shape>
          <o:OLEObject Type="Embed" ProgID="Equation.3" ShapeID="_x0000_i1250" DrawAspect="Content" ObjectID="_1468075950" r:id="rId448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rFonts w:hint="eastAsia"/>
          <w:szCs w:val="21"/>
        </w:rPr>
        <w:t>投资组合投资于资产i的初始比例</w:t>
      </w:r>
    </w:p>
    <w:p>
      <w:pPr>
        <w:ind w:firstLine="435"/>
        <w:rPr>
          <w:szCs w:val="21"/>
        </w:rPr>
      </w:pPr>
      <w:r>
        <w:rPr>
          <w:position w:val="-14"/>
          <w:szCs w:val="21"/>
          <w:vertAlign w:val="subscript"/>
        </w:rPr>
        <w:object>
          <v:shape id="_x0000_i1251" o:spt="75" type="#_x0000_t75" style="height:19.4pt;width:13.3pt;" o:ole="t" filled="f" o:preferrelative="t" stroked="f" coordsize="21600,21600">
            <v:path/>
            <v:fill on="f" focussize="0,0"/>
            <v:stroke on="f" joinstyle="miter"/>
            <v:imagedata r:id="rId450" o:title=""/>
            <o:lock v:ext="edit" aspectratio="t"/>
            <w10:wrap type="none"/>
            <w10:anchorlock/>
          </v:shape>
          <o:OLEObject Type="Embed" ProgID="Equation.3" ShapeID="_x0000_i1251" DrawAspect="Content" ObjectID="_1468075951" r:id="rId449">
            <o:LockedField>false</o:LockedField>
          </o:OLEObject>
        </w:object>
      </w:r>
      <w:r>
        <w:rPr>
          <w:rFonts w:hint="eastAsia"/>
          <w:position w:val="-14"/>
          <w:szCs w:val="21"/>
          <w:vertAlign w:val="subscript"/>
        </w:rPr>
        <w:t xml:space="preserve">  </w:t>
      </w:r>
      <w:r>
        <w:rPr>
          <w:position w:val="-14"/>
          <w:szCs w:val="21"/>
          <w:vertAlign w:val="subscript"/>
        </w:rPr>
        <w:tab/>
      </w:r>
      <w:r>
        <w:rPr>
          <w:rFonts w:hint="eastAsia"/>
          <w:szCs w:val="21"/>
        </w:rPr>
        <w:t>投资组合投资于资产j的初始比例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N   </w:t>
      </w:r>
      <w:r>
        <w:rPr>
          <w:szCs w:val="21"/>
        </w:rPr>
        <w:tab/>
      </w:r>
      <w:r>
        <w:rPr>
          <w:rFonts w:hint="eastAsia"/>
          <w:szCs w:val="21"/>
        </w:rPr>
        <w:t>投资组合P中资产的数量</w:t>
      </w:r>
    </w:p>
    <w:p>
      <w:pPr>
        <w:ind w:firstLine="435"/>
        <w:rPr>
          <w:szCs w:val="21"/>
        </w:rPr>
      </w:pPr>
    </w:p>
    <w:p>
      <w:pPr>
        <w:pStyle w:val="6"/>
      </w:pPr>
      <w:r>
        <w:rPr>
          <w:rFonts w:hint="eastAsia"/>
        </w:rPr>
        <w:t>两种资产投资组合回报的方差</w:t>
      </w:r>
    </w:p>
    <w:p>
      <w:pPr>
        <w:jc w:val="center"/>
        <w:rPr>
          <w:b/>
          <w:position w:val="-10"/>
        </w:rPr>
      </w:pPr>
      <w:r>
        <w:rPr>
          <w:b/>
          <w:position w:val="-34"/>
        </w:rPr>
        <w:object>
          <v:shape id="_x0000_i1252" o:spt="75" type="#_x0000_t75" style="height:41.35pt;width:219.05pt;" o:ole="t" filled="f" o:preferrelative="t" stroked="f" coordsize="21600,21600">
            <v:path/>
            <v:fill on="f" focussize="0,0"/>
            <v:stroke on="f" joinstyle="miter"/>
            <v:imagedata r:id="rId452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51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  <w:rPr>
          <w:szCs w:val="21"/>
        </w:rPr>
      </w:pPr>
      <w:r>
        <w:rPr>
          <w:szCs w:val="21"/>
          <w:vertAlign w:val="subscript"/>
        </w:rPr>
        <w:drawing>
          <wp:inline distT="0" distB="0" distL="0" distR="0">
            <wp:extent cx="209550" cy="190500"/>
            <wp:effectExtent l="0" t="0" r="0" b="0"/>
            <wp:docPr id="23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图片 5"/>
                    <pic:cNvPicPr>
                      <a:picLocks noChangeAspect="1" noChangeArrowheads="1"/>
                    </pic:cNvPicPr>
                  </pic:nvPicPr>
                  <pic:blipFill>
                    <a:blip r:embed="rId4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投资组合回报的方差</w:t>
      </w:r>
    </w:p>
    <w:p>
      <w:pPr>
        <w:ind w:firstLine="435"/>
        <w:rPr>
          <w:szCs w:val="21"/>
        </w:rPr>
      </w:pPr>
      <w:r>
        <w:rPr>
          <w:position w:val="-10"/>
          <w:szCs w:val="21"/>
          <w:vertAlign w:val="subscript"/>
        </w:rPr>
        <w:object>
          <v:shape id="_x0000_i1253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441" o:title=""/>
            <o:lock v:ext="edit" aspectratio="t"/>
            <w10:wrap type="none"/>
            <w10:anchorlock/>
          </v:shape>
          <o:OLEObject Type="Embed" ProgID="Equation.3" ShapeID="_x0000_i1253" DrawAspect="Content" ObjectID="_1468075953" r:id="rId453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rFonts w:hint="eastAsia"/>
          <w:szCs w:val="21"/>
        </w:rPr>
        <w:t>投资组合投资于资产i的初始比例</w:t>
      </w:r>
    </w:p>
    <w:p>
      <w:pPr>
        <w:ind w:firstLine="435"/>
        <w:rPr>
          <w:szCs w:val="21"/>
        </w:rPr>
      </w:pPr>
      <w:r>
        <w:rPr>
          <w:position w:val="-14"/>
          <w:szCs w:val="21"/>
          <w:vertAlign w:val="subscript"/>
        </w:rPr>
        <w:object>
          <v:shape id="_x0000_i1254" o:spt="75" type="#_x0000_t75" style="height:19.4pt;width:13.3pt;" o:ole="t" filled="f" o:preferrelative="t" stroked="f" coordsize="21600,21600">
            <v:path/>
            <v:fill on="f" focussize="0,0"/>
            <v:stroke on="f" joinstyle="miter"/>
            <v:imagedata r:id="rId450" o:title=""/>
            <o:lock v:ext="edit" aspectratio="t"/>
            <w10:wrap type="none"/>
            <w10:anchorlock/>
          </v:shape>
          <o:OLEObject Type="Embed" ProgID="Equation.3" ShapeID="_x0000_i1254" DrawAspect="Content" ObjectID="_1468075954" r:id="rId454">
            <o:LockedField>false</o:LockedField>
          </o:OLEObject>
        </w:object>
      </w:r>
      <w:r>
        <w:rPr>
          <w:rFonts w:hint="eastAsia"/>
          <w:position w:val="-14"/>
          <w:szCs w:val="21"/>
          <w:vertAlign w:val="subscript"/>
        </w:rPr>
        <w:t xml:space="preserve">  </w:t>
      </w:r>
      <w:r>
        <w:rPr>
          <w:position w:val="-14"/>
          <w:szCs w:val="21"/>
          <w:vertAlign w:val="subscript"/>
        </w:rPr>
        <w:tab/>
      </w:r>
      <w:r>
        <w:rPr>
          <w:rFonts w:hint="eastAsia"/>
          <w:szCs w:val="21"/>
        </w:rPr>
        <w:t>投资组合投资于资产j的初始比例</w:t>
      </w:r>
    </w:p>
    <w:p>
      <w:pPr>
        <w:ind w:firstLine="435"/>
        <w:rPr>
          <w:szCs w:val="21"/>
        </w:rPr>
      </w:pPr>
      <w:r>
        <w:rPr>
          <w:szCs w:val="21"/>
          <w:vertAlign w:val="subscript"/>
        </w:rPr>
        <w:drawing>
          <wp:inline distT="0" distB="0" distL="0" distR="0">
            <wp:extent cx="409575" cy="180975"/>
            <wp:effectExtent l="0" t="0" r="0" b="0"/>
            <wp:docPr id="24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15"/>
                    <pic:cNvPicPr>
                      <a:picLocks noChangeAspect="1" noChangeArrowheads="1"/>
                    </pic:cNvPicPr>
                  </pic:nvPicPr>
                  <pic:blipFill>
                    <a:blip r:embed="rId4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资产i 和j回报率的标准差</w:t>
      </w:r>
    </w:p>
    <w:p>
      <w:pPr>
        <w:ind w:firstLine="435"/>
        <w:rPr>
          <w:szCs w:val="21"/>
        </w:rPr>
      </w:pPr>
      <w:r>
        <w:rPr>
          <w:szCs w:val="21"/>
          <w:vertAlign w:val="subscript"/>
        </w:rPr>
        <w:drawing>
          <wp:inline distT="0" distB="0" distL="0" distR="0">
            <wp:extent cx="228600" cy="171450"/>
            <wp:effectExtent l="0" t="0" r="0" b="0"/>
            <wp:docPr id="24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图片 6"/>
                    <pic:cNvPicPr>
                      <a:picLocks noChangeAspect="1" noChangeArrowheads="1"/>
                    </pic:cNvPicPr>
                  </pic:nvPicPr>
                  <pic:blipFill>
                    <a:blip r:embed="rId4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资产i 和j回报率之间的协方差</w:t>
      </w:r>
    </w:p>
    <w:p>
      <w:pPr>
        <w:ind w:firstLine="435"/>
        <w:rPr>
          <w:szCs w:val="21"/>
        </w:rPr>
      </w:pPr>
      <w:r>
        <w:rPr>
          <w:szCs w:val="21"/>
          <w:vertAlign w:val="subscript"/>
        </w:rPr>
        <w:drawing>
          <wp:inline distT="0" distB="0" distL="0" distR="0">
            <wp:extent cx="200025" cy="171450"/>
            <wp:effectExtent l="0" t="0" r="0" b="0"/>
            <wp:docPr id="24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7"/>
                    <pic:cNvPicPr>
                      <a:picLocks noChangeAspect="1" noChangeArrowheads="1"/>
                    </pic:cNvPicPr>
                  </pic:nvPicPr>
                  <pic:blipFill>
                    <a:blip r:embed="rId4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资产i 和j回报率之间的相关系数</w:t>
      </w:r>
    </w:p>
    <w:p>
      <w:pPr>
        <w:pStyle w:val="6"/>
      </w:pPr>
      <w:r>
        <w:rPr>
          <w:rFonts w:hint="eastAsia"/>
        </w:rPr>
        <w:t>两种资产的最小方差投资组合权重</w:t>
      </w:r>
    </w:p>
    <w:p>
      <w:pPr>
        <w:jc w:val="center"/>
        <w:rPr>
          <w:b/>
          <w:position w:val="-10"/>
        </w:rPr>
      </w:pPr>
      <w:r>
        <w:rPr>
          <w:b/>
          <w:position w:val="-30"/>
        </w:rPr>
        <w:object>
          <v:shape id="_x0000_i1255" o:spt="75" type="#_x0000_t75" style="height:36.75pt;width:103.65pt;" o:ole="t" filled="f" o:preferrelative="t" stroked="f" coordsize="21600,21600">
            <v:path/>
            <v:fill on="f" focussize="0,0"/>
            <v:stroke on="f" joinstyle="miter"/>
            <v:imagedata r:id="rId456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55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  <w:rPr>
          <w:szCs w:val="21"/>
        </w:rPr>
      </w:pPr>
      <w:r>
        <w:rPr>
          <w:szCs w:val="21"/>
          <w:vertAlign w:val="subscript"/>
        </w:rPr>
        <w:drawing>
          <wp:inline distT="0" distB="0" distL="0" distR="0">
            <wp:extent cx="409575" cy="180975"/>
            <wp:effectExtent l="0" t="0" r="0" b="0"/>
            <wp:docPr id="24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15"/>
                    <pic:cNvPicPr>
                      <a:picLocks noChangeAspect="1" noChangeArrowheads="1"/>
                    </pic:cNvPicPr>
                  </pic:nvPicPr>
                  <pic:blipFill>
                    <a:blip r:embed="rId4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资产i 和j回报率的标准差</w:t>
      </w:r>
    </w:p>
    <w:p>
      <w:pPr>
        <w:ind w:firstLine="435"/>
        <w:rPr>
          <w:szCs w:val="21"/>
        </w:rPr>
      </w:pPr>
      <w:r>
        <w:rPr>
          <w:szCs w:val="21"/>
          <w:vertAlign w:val="subscript"/>
        </w:rPr>
        <w:drawing>
          <wp:inline distT="0" distB="0" distL="0" distR="0">
            <wp:extent cx="228600" cy="171450"/>
            <wp:effectExtent l="0" t="0" r="0" b="0"/>
            <wp:docPr id="24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图片 6"/>
                    <pic:cNvPicPr>
                      <a:picLocks noChangeAspect="1" noChangeArrowheads="1"/>
                    </pic:cNvPicPr>
                  </pic:nvPicPr>
                  <pic:blipFill>
                    <a:blip r:embed="rId4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资产i 和j回报率之间的协方差</w:t>
      </w:r>
    </w:p>
    <w:p>
      <w:pPr>
        <w:jc w:val="center"/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效用函数（常用）</w:t>
      </w:r>
    </w:p>
    <w:p>
      <w:pPr>
        <w:jc w:val="center"/>
        <w:rPr>
          <w:b/>
        </w:rPr>
      </w:pPr>
      <w:r>
        <w:rPr>
          <w:b/>
          <w:position w:val="-10"/>
        </w:rPr>
        <w:object>
          <v:shape id="_x0000_i1256" o:spt="75" type="#_x0000_t75" style="height:18.9pt;width:102.65pt;" o:ole="t" filled="f" o:preferrelative="t" stroked="f" coordsize="21600,21600">
            <v:path/>
            <v:fill on="f" focussize="0,0"/>
            <v:stroke on="f" joinstyle="miter"/>
            <v:imagedata r:id="rId458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57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U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投资组合的效用水平</w:t>
      </w:r>
    </w:p>
    <w:p>
      <w:pPr>
        <w:ind w:firstLine="435"/>
        <w:rPr>
          <w:szCs w:val="21"/>
        </w:rPr>
      </w:pPr>
      <w:r>
        <w:rPr>
          <w:szCs w:val="21"/>
        </w:rPr>
        <w:t>λ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风险厌恶系数</w:t>
      </w:r>
    </w:p>
    <w:p>
      <w:pPr>
        <w:ind w:firstLine="435"/>
        <w:rPr>
          <w:szCs w:val="21"/>
        </w:rPr>
      </w:pPr>
      <w:r>
        <w:rPr>
          <w:szCs w:val="21"/>
        </w:rPr>
        <w:t>σ</w:t>
      </w:r>
      <w:r>
        <w:rPr>
          <w:rFonts w:hint="eastAsia"/>
          <w:szCs w:val="21"/>
        </w:rPr>
        <w:t xml:space="preserve">(R)  </w:t>
      </w:r>
      <w:r>
        <w:rPr>
          <w:szCs w:val="21"/>
        </w:rPr>
        <w:tab/>
      </w:r>
      <w:r>
        <w:rPr>
          <w:rFonts w:hint="eastAsia"/>
          <w:szCs w:val="21"/>
        </w:rPr>
        <w:t>投资组合回报的波动率</w:t>
      </w:r>
    </w:p>
    <w:p>
      <w:pPr>
        <w:ind w:firstLine="435"/>
        <w:rPr>
          <w:szCs w:val="21"/>
        </w:rPr>
      </w:pPr>
      <w:r>
        <w:rPr>
          <w:szCs w:val="21"/>
        </w:rPr>
        <w:t>E</w:t>
      </w:r>
      <w:r>
        <w:rPr>
          <w:rFonts w:hint="eastAsia"/>
          <w:szCs w:val="21"/>
        </w:rPr>
        <w:t xml:space="preserve">(R)  </w:t>
      </w:r>
      <w:r>
        <w:rPr>
          <w:szCs w:val="21"/>
        </w:rPr>
        <w:tab/>
      </w:r>
      <w:r>
        <w:rPr>
          <w:rFonts w:hint="eastAsia"/>
          <w:szCs w:val="21"/>
        </w:rPr>
        <w:t>投资组合回报的期望值</w:t>
      </w:r>
    </w:p>
    <w:p>
      <w:pPr>
        <w:rPr>
          <w:b/>
        </w:rPr>
      </w:pPr>
    </w:p>
    <w:p>
      <w:pPr>
        <w:pStyle w:val="4"/>
        <w:rPr>
          <w:lang w:eastAsia="zh-CN"/>
        </w:rPr>
      </w:pPr>
      <w:bookmarkStart w:id="38" w:name="_Toc27605"/>
      <w:r>
        <w:rPr>
          <w:rFonts w:hint="eastAsia"/>
          <w:lang w:eastAsia="zh-CN"/>
        </w:rPr>
        <w:t>1.4资本资产定价模型（CAPM）</w:t>
      </w:r>
      <w:bookmarkEnd w:id="38"/>
    </w:p>
    <w:p>
      <w:pPr>
        <w:pStyle w:val="6"/>
      </w:pPr>
      <w:r>
        <w:rPr>
          <w:rFonts w:hint="eastAsia"/>
        </w:rPr>
        <w:t>资本市场线（CML）</w:t>
      </w:r>
    </w:p>
    <w:p>
      <w:pPr>
        <w:jc w:val="center"/>
        <w:rPr>
          <w:szCs w:val="21"/>
        </w:rPr>
      </w:pPr>
      <w:r>
        <w:rPr>
          <w:position w:val="-30"/>
        </w:rPr>
        <w:object>
          <v:shape id="_x0000_i1257" o:spt="75" type="#_x0000_t75" style="height:35.25pt;width:140.95pt;" o:ole="t" filled="f" o:preferrelative="t" stroked="f" coordsize="21600,21600">
            <v:path/>
            <v:fill on="f" focussize="0,0"/>
            <v:stroke on="f" joinstyle="miter"/>
            <v:imagedata r:id="rId460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59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  <w:rPr>
          <w:szCs w:val="21"/>
        </w:rPr>
      </w:pPr>
      <w:r>
        <w:rPr>
          <w:szCs w:val="21"/>
        </w:rPr>
        <w:drawing>
          <wp:inline distT="0" distB="0" distL="0" distR="0">
            <wp:extent cx="352425" cy="152400"/>
            <wp:effectExtent l="0" t="0" r="0" b="0"/>
            <wp:docPr id="24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16"/>
                    <pic:cNvPicPr>
                      <a:picLocks noChangeAspect="1" noChangeArrowheads="1"/>
                    </pic:cNvPicPr>
                  </pic:nvPicPr>
                  <pic:blipFill>
                    <a:blip r:embed="rId4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投资组合P的预期回报率</w:t>
      </w:r>
    </w:p>
    <w:p>
      <w:pPr>
        <w:ind w:firstLine="435"/>
        <w:rPr>
          <w:szCs w:val="21"/>
        </w:rPr>
      </w:pPr>
      <w:r>
        <w:rPr>
          <w:position w:val="-14"/>
        </w:rPr>
        <w:object>
          <v:shape id="_x0000_i1258" o:spt="75" type="#_x0000_t75" style="height:18.9pt;width:15.85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62">
            <o:LockedField>false</o:LockedField>
          </o:OLEObject>
        </w:object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无风险利率</w:t>
      </w:r>
    </w:p>
    <w:p>
      <w:pPr>
        <w:ind w:firstLine="435"/>
        <w:rPr>
          <w:szCs w:val="21"/>
        </w:rPr>
      </w:pPr>
      <w:r>
        <w:rPr>
          <w:szCs w:val="21"/>
        </w:rPr>
        <w:drawing>
          <wp:inline distT="0" distB="0" distL="0" distR="0">
            <wp:extent cx="352425" cy="152400"/>
            <wp:effectExtent l="0" t="0" r="0" b="0"/>
            <wp:docPr id="25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19"/>
                    <pic:cNvPicPr>
                      <a:picLocks noChangeAspect="1" noChangeArrowheads="1"/>
                    </pic:cNvPicPr>
                  </pic:nvPicPr>
                  <pic:blipFill>
                    <a:blip r:embed="rId4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市场组合的预期回报率</w:t>
      </w:r>
    </w:p>
    <w:p>
      <w:pPr>
        <w:ind w:firstLine="435"/>
        <w:rPr>
          <w:szCs w:val="21"/>
        </w:rPr>
      </w:pPr>
      <w:r>
        <w:rPr>
          <w:szCs w:val="21"/>
          <w:vertAlign w:val="subscript"/>
        </w:rPr>
        <w:drawing>
          <wp:inline distT="0" distB="0" distL="0" distR="0">
            <wp:extent cx="180975" cy="114300"/>
            <wp:effectExtent l="0" t="0" r="0" b="0"/>
            <wp:docPr id="25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21"/>
                    <pic:cNvPicPr>
                      <a:picLocks noChangeAspect="1" noChangeArrowheads="1"/>
                    </pic:cNvPicPr>
                  </pic:nvPicPr>
                  <pic:blipFill>
                    <a:blip r:embed="rId4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市场组合回报率的标准差</w:t>
      </w:r>
    </w:p>
    <w:p>
      <w:pPr>
        <w:ind w:firstLine="435"/>
        <w:rPr>
          <w:szCs w:val="21"/>
        </w:rPr>
      </w:pPr>
      <w:r>
        <w:rPr>
          <w:szCs w:val="21"/>
          <w:vertAlign w:val="subscript"/>
        </w:rPr>
        <w:drawing>
          <wp:inline distT="0" distB="0" distL="0" distR="0">
            <wp:extent cx="152400" cy="152400"/>
            <wp:effectExtent l="0" t="0" r="0" b="0"/>
            <wp:docPr id="25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图片 22"/>
                    <pic:cNvPicPr>
                      <a:picLocks noChangeAspect="1" noChangeArrowheads="1"/>
                    </pic:cNvPicPr>
                  </pic:nvPicPr>
                  <pic:blipFill>
                    <a:blip r:embed="rId4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投资组合回报率的标准差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证券市场线（SML）</w:t>
      </w:r>
    </w:p>
    <w:p>
      <w:pPr>
        <w:jc w:val="center"/>
        <w:rPr>
          <w:szCs w:val="21"/>
        </w:rPr>
      </w:pPr>
      <w:r>
        <w:rPr>
          <w:position w:val="-52"/>
        </w:rPr>
        <w:object>
          <v:shape id="_x0000_i1259" o:spt="75" type="#_x0000_t75" style="height:57.7pt;width:147.05pt;" o:ole="t" filled="f" o:preferrelative="t" stroked="f" coordsize="21600,21600">
            <v:path/>
            <v:fill on="f" focussize="0,0"/>
            <v:stroke on="f" joinstyle="miter"/>
            <v:imagedata r:id="rId468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67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  <w:rPr>
          <w:szCs w:val="21"/>
        </w:rPr>
      </w:pPr>
      <w:r>
        <w:rPr>
          <w:szCs w:val="21"/>
        </w:rPr>
        <w:drawing>
          <wp:inline distT="0" distB="0" distL="0" distR="0">
            <wp:extent cx="352425" cy="152400"/>
            <wp:effectExtent l="0" t="0" r="0" b="0"/>
            <wp:docPr id="25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图片 23"/>
                    <pic:cNvPicPr>
                      <a:picLocks noChangeAspect="1"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资产i的预期回报率</w:t>
      </w:r>
    </w:p>
    <w:p>
      <w:pPr>
        <w:ind w:firstLine="435"/>
        <w:rPr>
          <w:szCs w:val="21"/>
        </w:rPr>
      </w:pPr>
      <w:r>
        <w:rPr>
          <w:szCs w:val="21"/>
        </w:rPr>
        <w:drawing>
          <wp:inline distT="0" distB="0" distL="0" distR="0">
            <wp:extent cx="409575" cy="171450"/>
            <wp:effectExtent l="0" t="0" r="0" b="0"/>
            <wp:docPr id="255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图片 128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市场组合的预期回报率</w:t>
      </w:r>
    </w:p>
    <w:p>
      <w:pPr>
        <w:ind w:firstLine="435"/>
        <w:rPr>
          <w:szCs w:val="21"/>
        </w:rPr>
      </w:pPr>
      <w:r>
        <w:rPr>
          <w:position w:val="-12"/>
          <w:szCs w:val="21"/>
          <w:vertAlign w:val="subscript"/>
        </w:rPr>
        <w:object>
          <v:shape id="_x0000_i1260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472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71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position w:val="-10"/>
          <w:szCs w:val="21"/>
          <w:vertAlign w:val="subscript"/>
        </w:rPr>
        <w:tab/>
      </w:r>
      <w:r>
        <w:rPr>
          <w:rFonts w:hint="eastAsia"/>
          <w:szCs w:val="21"/>
        </w:rPr>
        <w:t>无风险利率</w:t>
      </w:r>
    </w:p>
    <w:p>
      <w:pPr>
        <w:ind w:firstLine="435"/>
        <w:rPr>
          <w:szCs w:val="21"/>
        </w:rPr>
      </w:pPr>
      <w:r>
        <w:rPr>
          <w:position w:val="-10"/>
          <w:szCs w:val="21"/>
          <w:vertAlign w:val="subscript"/>
        </w:rPr>
        <w:object>
          <v:shape id="_x0000_i1261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3" ShapeID="_x0000_i1261" DrawAspect="Content" ObjectID="_1468075961" r:id="rId473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position w:val="-10"/>
          <w:szCs w:val="21"/>
          <w:vertAlign w:val="subscript"/>
        </w:rPr>
        <w:tab/>
      </w:r>
      <w:r>
        <w:rPr>
          <w:rFonts w:hint="eastAsia"/>
          <w:szCs w:val="21"/>
        </w:rPr>
        <w:t>资产i的贝塔值</w:t>
      </w:r>
    </w:p>
    <w:p>
      <w:pPr>
        <w:ind w:firstLine="435"/>
        <w:rPr>
          <w:szCs w:val="21"/>
        </w:rPr>
      </w:pPr>
      <w:r>
        <w:rPr>
          <w:szCs w:val="21"/>
        </w:rPr>
        <w:drawing>
          <wp:inline distT="0" distB="0" distL="0" distR="0">
            <wp:extent cx="704850" cy="161925"/>
            <wp:effectExtent l="0" t="0" r="0" b="0"/>
            <wp:docPr id="258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图片 129"/>
                    <pic:cNvPicPr>
                      <a:picLocks noChangeAspect="1" noChangeArrowheads="1"/>
                    </pic:cNvPicPr>
                  </pic:nvPicPr>
                  <pic:blipFill>
                    <a:blip r:embed="rId4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ab/>
      </w:r>
      <w:r>
        <w:rPr>
          <w:rFonts w:hint="eastAsia"/>
          <w:szCs w:val="21"/>
        </w:rPr>
        <w:t>资产i和市场组合回报率之间的协方差</w:t>
      </w:r>
    </w:p>
    <w:p>
      <w:pPr>
        <w:ind w:firstLine="435"/>
        <w:rPr>
          <w:szCs w:val="21"/>
        </w:rPr>
      </w:pPr>
      <w:r>
        <w:rPr>
          <w:szCs w:val="21"/>
        </w:rPr>
        <w:drawing>
          <wp:inline distT="0" distB="0" distL="0" distR="0">
            <wp:extent cx="466725" cy="152400"/>
            <wp:effectExtent l="0" t="0" r="0" b="0"/>
            <wp:docPr id="259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130"/>
                    <pic:cNvPicPr>
                      <a:picLocks noChangeAspect="1" noChangeArrowheads="1"/>
                    </pic:cNvPicPr>
                  </pic:nvPicPr>
                  <pic:blipFill>
                    <a:blip r:embed="rId4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市场组合的回报率的方差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投资组合的贝塔值</w:t>
      </w:r>
    </w:p>
    <w:p>
      <w:pPr>
        <w:jc w:val="center"/>
        <w:rPr>
          <w:szCs w:val="21"/>
        </w:rPr>
      </w:pPr>
      <w:r>
        <w:object>
          <v:shape id="_x0000_i1262" o:spt="75" type="#_x0000_t75" style="height:36.75pt;width:68.95pt;" o:ole="t" filled="f" o:preferrelative="t" stroked="f" coordsize="21600,21600">
            <v:path/>
            <v:fill on="f" focussize="0,0"/>
            <v:stroke on="f" joinstyle="miter"/>
            <v:imagedata r:id="rId478" o:title=""/>
            <o:lock v:ext="edit" aspectratio="t"/>
            <w10:wrap type="none"/>
            <w10:anchorlock/>
          </v:shape>
          <o:OLEObject Type="Embed" ProgID="Equation.3" ShapeID="_x0000_i1262" DrawAspect="Content" ObjectID="_1468075962" r:id="rId477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position w:val="-14"/>
          <w:szCs w:val="21"/>
          <w:vertAlign w:val="subscript"/>
        </w:rPr>
        <w:object>
          <v:shape id="_x0000_i1263" o:spt="75" type="#_x0000_t75" style="height:19.4pt;width:14.8pt;" o:ole="t" filled="f" o:preferrelative="t" stroked="f" coordsize="21600,21600">
            <v:path/>
            <v:fill on="f" focussize="0,0"/>
            <v:stroke on="f" joinstyle="miter"/>
            <v:imagedata r:id="rId480" o:title=""/>
            <o:lock v:ext="edit" aspectratio="t"/>
            <w10:wrap type="none"/>
            <w10:anchorlock/>
          </v:shape>
          <o:OLEObject Type="Embed" ProgID="Equation.3" ShapeID="_x0000_i1263" DrawAspect="Content" ObjectID="_1468075963" r:id="rId479">
            <o:LockedField>false</o:LockedField>
          </o:OLEObject>
        </w:object>
      </w:r>
      <w:r>
        <w:rPr>
          <w:rFonts w:hint="eastAsia"/>
          <w:position w:val="-14"/>
          <w:szCs w:val="21"/>
          <w:vertAlign w:val="subscript"/>
        </w:rPr>
        <w:t xml:space="preserve">  </w:t>
      </w:r>
      <w:r>
        <w:rPr>
          <w:position w:val="-14"/>
          <w:szCs w:val="21"/>
          <w:vertAlign w:val="subscript"/>
        </w:rPr>
        <w:tab/>
      </w:r>
      <w:r>
        <w:rPr>
          <w:rFonts w:hint="eastAsia"/>
          <w:szCs w:val="21"/>
        </w:rPr>
        <w:t>投资组合的贝塔</w:t>
      </w:r>
    </w:p>
    <w:p>
      <w:pPr>
        <w:ind w:firstLine="435"/>
        <w:rPr>
          <w:szCs w:val="21"/>
        </w:rPr>
      </w:pPr>
      <w:r>
        <w:rPr>
          <w:position w:val="-10"/>
          <w:szCs w:val="21"/>
          <w:vertAlign w:val="subscript"/>
        </w:rPr>
        <w:object>
          <v:shape id="_x0000_i1264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3" ShapeID="_x0000_i1264" DrawAspect="Content" ObjectID="_1468075964" r:id="rId481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rFonts w:hint="eastAsia"/>
          <w:szCs w:val="21"/>
        </w:rPr>
        <w:t>资产的贝塔</w:t>
      </w:r>
    </w:p>
    <w:p>
      <w:pPr>
        <w:ind w:firstLine="435"/>
        <w:rPr>
          <w:szCs w:val="21"/>
        </w:rPr>
      </w:pPr>
      <w:r>
        <w:rPr>
          <w:position w:val="-10"/>
          <w:szCs w:val="21"/>
          <w:vertAlign w:val="subscript"/>
        </w:rPr>
        <w:object>
          <v:shape id="_x0000_i1265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441" o:title=""/>
            <o:lock v:ext="edit" aspectratio="t"/>
            <w10:wrap type="none"/>
            <w10:anchorlock/>
          </v:shape>
          <o:OLEObject Type="Embed" ProgID="Equation.3" ShapeID="_x0000_i1265" DrawAspect="Content" ObjectID="_1468075965" r:id="rId482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rFonts w:hint="eastAsia"/>
          <w:szCs w:val="21"/>
        </w:rPr>
        <w:t>投资组合投资于资产i的比例</w:t>
      </w:r>
    </w:p>
    <w:p>
      <w:pPr>
        <w:ind w:firstLine="435"/>
        <w:rPr>
          <w:szCs w:val="21"/>
        </w:rPr>
      </w:pPr>
      <w:r>
        <w:rPr>
          <w:rFonts w:hint="eastAsia"/>
          <w:szCs w:val="21"/>
        </w:rPr>
        <w:t xml:space="preserve">N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投资组合中资产的数量</w:t>
      </w:r>
    </w:p>
    <w:p>
      <w:pPr>
        <w:rPr>
          <w:szCs w:val="21"/>
        </w:rPr>
      </w:pPr>
    </w:p>
    <w:p>
      <w:pPr>
        <w:ind w:firstLine="435"/>
      </w:pPr>
    </w:p>
    <w:p/>
    <w:p>
      <w:pPr>
        <w:pStyle w:val="5"/>
        <w:rPr>
          <w:lang w:eastAsia="zh-CN"/>
        </w:rPr>
      </w:pPr>
      <w:r>
        <w:rPr>
          <w:rFonts w:hint="eastAsia"/>
          <w:lang w:eastAsia="zh-CN"/>
        </w:rPr>
        <w:t>1.5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单因素模型</w:t>
      </w:r>
    </w:p>
    <w:p>
      <w:pPr>
        <w:pStyle w:val="6"/>
      </w:pPr>
      <w:r>
        <w:rPr>
          <w:rFonts w:hint="eastAsia"/>
        </w:rPr>
        <w:t>单指数模型</w:t>
      </w:r>
    </w:p>
    <w:p>
      <w:pPr>
        <w:jc w:val="center"/>
      </w:pPr>
      <w:r>
        <w:rPr>
          <w:position w:val="-14"/>
        </w:rPr>
        <w:object>
          <v:shape id="_x0000_i1266" o:spt="75" type="#_x0000_t75" style="height:18.9pt;width:135.85pt;" o:ole="t" filled="f" o:preferrelative="t" stroked="f" coordsize="21600,21600">
            <v:path/>
            <v:fill on="f" focussize="0,0"/>
            <v:stroke on="f" joinstyle="miter"/>
            <v:imagedata r:id="rId484" o:title=""/>
            <o:lock v:ext="edit" aspectratio="t"/>
            <w10:wrap type="none"/>
            <w10:anchorlock/>
          </v:shape>
          <o:OLEObject Type="Embed" ProgID="Equation.3" ShapeID="_x0000_i1266" DrawAspect="Content" ObjectID="_1468075966" r:id="rId483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</w:pPr>
      <w:r>
        <w:rPr>
          <w:position w:val="-12"/>
          <w:szCs w:val="21"/>
        </w:rPr>
        <w:object>
          <v:shape id="_x0000_i1267" o:spt="75" type="#_x0000_t75" style="height:18.9pt;width:17.35pt;" o:ole="t" filled="f" o:preferrelative="t" stroked="f" coordsize="21600,21600">
            <v:path/>
            <v:fill on="f" focussize="0,0"/>
            <v:stroke on="f" joinstyle="miter"/>
            <v:imagedata r:id="rId486" o:title=""/>
            <o:lock v:ext="edit" aspectratio="t"/>
            <w10:wrap type="none"/>
            <w10:anchorlock/>
          </v:shape>
          <o:OLEObject Type="Embed" ProgID="Equation.3" ShapeID="_x0000_i1267" DrawAspect="Content" ObjectID="_1468075967" r:id="rId485">
            <o:LockedField>false</o:LockedField>
          </o:OLEObject>
        </w:object>
      </w:r>
      <w:r>
        <w:rPr>
          <w:rFonts w:hint="eastAsia"/>
          <w:position w:val="-12"/>
          <w:szCs w:val="21"/>
        </w:rPr>
        <w:t xml:space="preserve">  </w:t>
      </w:r>
      <w:r>
        <w:rPr>
          <w:position w:val="-12"/>
          <w:szCs w:val="21"/>
        </w:rPr>
        <w:tab/>
      </w:r>
      <w:r>
        <w:rPr>
          <w:rFonts w:hint="eastAsia"/>
        </w:rPr>
        <w:t>资产或投资组合i 经过t时期之后的回报率</w:t>
      </w:r>
    </w:p>
    <w:p>
      <w:pPr>
        <w:ind w:firstLine="435"/>
      </w:pPr>
      <w:r>
        <w:rPr>
          <w:position w:val="-10"/>
          <w:szCs w:val="21"/>
          <w:vertAlign w:val="subscript"/>
        </w:rPr>
        <w:object>
          <v:shape id="_x0000_i1268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488" o:title=""/>
            <o:lock v:ext="edit" aspectratio="t"/>
            <w10:wrap type="none"/>
            <w10:anchorlock/>
          </v:shape>
          <o:OLEObject Type="Embed" ProgID="Equation.3" ShapeID="_x0000_i1268" DrawAspect="Content" ObjectID="_1468075968" r:id="rId487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rFonts w:hint="eastAsia"/>
        </w:rPr>
        <w:t>资产或投资组合i 的截距</w:t>
      </w:r>
    </w:p>
    <w:p>
      <w:pPr>
        <w:ind w:firstLine="435"/>
      </w:pPr>
      <w:r>
        <w:rPr>
          <w:position w:val="-10"/>
          <w:szCs w:val="21"/>
          <w:vertAlign w:val="subscript"/>
        </w:rPr>
        <w:object>
          <v:shape id="_x0000_i1269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490" o:title=""/>
            <o:lock v:ext="edit" aspectratio="t"/>
            <w10:wrap type="none"/>
            <w10:anchorlock/>
          </v:shape>
          <o:OLEObject Type="Embed" ProgID="Equation.3" ShapeID="_x0000_i1269" DrawAspect="Content" ObjectID="_1468075969" r:id="rId489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rFonts w:hint="eastAsia"/>
        </w:rPr>
        <w:t>资产或投资组合i对指数回报的敏感性</w:t>
      </w:r>
    </w:p>
    <w:p>
      <w:pPr>
        <w:ind w:firstLine="435"/>
      </w:pPr>
      <w:r>
        <w:rPr>
          <w:position w:val="-14"/>
          <w:szCs w:val="21"/>
          <w:vertAlign w:val="subscript"/>
        </w:rPr>
        <w:object>
          <v:shape id="_x0000_i1270" o:spt="75" type="#_x0000_t75" style="height:19.4pt;width:33.2pt;" o:ole="t" filled="f" o:preferrelative="t" stroked="f" coordsize="21600,21600">
            <v:path/>
            <v:fill on="f" focussize="0,0"/>
            <v:stroke on="f" joinstyle="miter"/>
            <v:imagedata r:id="rId492" o:title=""/>
            <o:lock v:ext="edit" aspectratio="t"/>
            <w10:wrap type="none"/>
            <w10:anchorlock/>
          </v:shape>
          <o:OLEObject Type="Embed" ProgID="Equation.3" ShapeID="_x0000_i1270" DrawAspect="Content" ObjectID="_1468075970" r:id="rId491">
            <o:LockedField>false</o:LockedField>
          </o:OLEObject>
        </w:object>
      </w:r>
      <w:r>
        <w:rPr>
          <w:rFonts w:hint="eastAsia"/>
          <w:position w:val="-14"/>
          <w:szCs w:val="21"/>
          <w:vertAlign w:val="subscript"/>
        </w:rPr>
        <w:t xml:space="preserve">  </w:t>
      </w:r>
      <w:r>
        <w:rPr>
          <w:rFonts w:hint="eastAsia"/>
        </w:rPr>
        <w:t>指数经过t期后的回报</w:t>
      </w:r>
    </w:p>
    <w:p>
      <w:pPr>
        <w:ind w:firstLine="435"/>
      </w:pPr>
      <w:r>
        <w:rPr>
          <w:position w:val="-12"/>
          <w:szCs w:val="21"/>
        </w:rPr>
        <w:object>
          <v:shape id="_x0000_i1271" o:spt="75" type="#_x0000_t75" style="height:18.9pt;width:14.3pt;" o:ole="t" filled="f" o:preferrelative="t" stroked="f" coordsize="21600,21600">
            <v:path/>
            <v:fill on="f" focussize="0,0"/>
            <v:stroke on="f" joinstyle="miter"/>
            <v:imagedata r:id="rId494" o:title=""/>
            <o:lock v:ext="edit" aspectratio="t"/>
            <w10:wrap type="none"/>
            <w10:anchorlock/>
          </v:shape>
          <o:OLEObject Type="Embed" ProgID="Equation.3" ShapeID="_x0000_i1271" DrawAspect="Content" ObjectID="_1468075971" r:id="rId493">
            <o:LockedField>false</o:LockedField>
          </o:OLEObject>
        </w:object>
      </w:r>
      <w:r>
        <w:rPr>
          <w:rFonts w:hint="eastAsia"/>
          <w:position w:val="-12"/>
          <w:szCs w:val="21"/>
        </w:rPr>
        <w:t xml:space="preserve">  </w:t>
      </w:r>
      <w:r>
        <w:rPr>
          <w:position w:val="-12"/>
          <w:szCs w:val="21"/>
        </w:rPr>
        <w:tab/>
      </w:r>
      <w:r>
        <w:rPr>
          <w:rFonts w:hint="eastAsia"/>
        </w:rPr>
        <w:t>随机误差项（</w:t>
      </w:r>
      <w:r>
        <w:rPr>
          <w:position w:val="-12"/>
          <w:szCs w:val="21"/>
        </w:rPr>
        <w:object>
          <v:shape id="_x0000_i1272" o:spt="75" type="#_x0000_t75" style="height:18.9pt;width:31.65pt;" o:ole="t" filled="f" o:preferrelative="t" stroked="f" coordsize="21600,21600">
            <v:path/>
            <v:fill on="f" focussize="0,0"/>
            <v:stroke on="f" joinstyle="miter"/>
            <v:imagedata r:id="rId496" o:title=""/>
            <o:lock v:ext="edit" aspectratio="t"/>
            <w10:wrap type="none"/>
            <w10:anchorlock/>
          </v:shape>
          <o:OLEObject Type="Embed" ProgID="Equation.3" ShapeID="_x0000_i1272" DrawAspect="Content" ObjectID="_1468075972" r:id="rId495">
            <o:LockedField>false</o:LockedField>
          </o:OLEObject>
        </w:object>
      </w:r>
      <w:r>
        <w:rPr>
          <w:rFonts w:hint="eastAsia"/>
        </w:rPr>
        <w:t>=0）</w:t>
      </w:r>
    </w:p>
    <w:p/>
    <w:p>
      <w:pPr>
        <w:pStyle w:val="6"/>
      </w:pPr>
      <w:r>
        <w:rPr>
          <w:rFonts w:hint="eastAsia"/>
        </w:rPr>
        <w:t>市场模型</w:t>
      </w:r>
    </w:p>
    <w:p>
      <w:pPr>
        <w:jc w:val="center"/>
        <w:rPr>
          <w:position w:val="-12"/>
        </w:rPr>
      </w:pPr>
      <w:r>
        <w:rPr>
          <w:position w:val="-12"/>
        </w:rPr>
        <w:object>
          <v:shape id="_x0000_i1273" o:spt="75" type="#_x0000_t75" style="height:18.9pt;width:120.5pt;" o:ole="t" filled="f" o:preferrelative="t" stroked="f" coordsize="21600,21600">
            <v:path/>
            <v:fill on="f" focussize="0,0"/>
            <v:stroke on="f" joinstyle="miter"/>
            <v:imagedata r:id="rId498" o:title=""/>
            <o:lock v:ext="edit" aspectratio="t"/>
            <w10:wrap type="none"/>
            <w10:anchorlock/>
          </v:shape>
          <o:OLEObject Type="Embed" ProgID="Equation.3" ShapeID="_x0000_i1273" DrawAspect="Content" ObjectID="_1468075973" r:id="rId497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jc w:val="center"/>
        <w:rPr>
          <w:position w:val="-12"/>
        </w:rPr>
      </w:pPr>
    </w:p>
    <w:p>
      <w:pPr>
        <w:ind w:firstLine="435"/>
      </w:pPr>
      <w:r>
        <w:rPr>
          <w:position w:val="-12"/>
          <w:szCs w:val="21"/>
        </w:rPr>
        <w:object>
          <v:shape id="_x0000_i1274" o:spt="75" type="#_x0000_t75" style="height:18.9pt;width:17.35pt;" o:ole="t" filled="f" o:preferrelative="t" stroked="f" coordsize="21600,21600">
            <v:path/>
            <v:fill on="f" focussize="0,0"/>
            <v:stroke on="f" joinstyle="miter"/>
            <v:imagedata r:id="rId486" o:title=""/>
            <o:lock v:ext="edit" aspectratio="t"/>
            <w10:wrap type="none"/>
            <w10:anchorlock/>
          </v:shape>
          <o:OLEObject Type="Embed" ProgID="Equation.3" ShapeID="_x0000_i1274" DrawAspect="Content" ObjectID="_1468075974" r:id="rId499">
            <o:LockedField>false</o:LockedField>
          </o:OLEObject>
        </w:object>
      </w:r>
      <w:r>
        <w:rPr>
          <w:rFonts w:hint="eastAsia"/>
          <w:position w:val="-12"/>
          <w:szCs w:val="21"/>
        </w:rPr>
        <w:t xml:space="preserve">  </w:t>
      </w:r>
      <w:r>
        <w:rPr>
          <w:position w:val="-12"/>
          <w:szCs w:val="21"/>
        </w:rPr>
        <w:tab/>
      </w:r>
      <w:r>
        <w:rPr>
          <w:rFonts w:hint="eastAsia"/>
        </w:rPr>
        <w:t>资产或投资组合i 经过t时期之后的回报率</w:t>
      </w:r>
    </w:p>
    <w:p>
      <w:pPr>
        <w:ind w:firstLine="435"/>
      </w:pPr>
      <w:r>
        <w:rPr>
          <w:position w:val="-10"/>
          <w:szCs w:val="21"/>
          <w:vertAlign w:val="subscript"/>
        </w:rPr>
        <w:object>
          <v:shape id="_x0000_i1275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488" o:title=""/>
            <o:lock v:ext="edit" aspectratio="t"/>
            <w10:wrap type="none"/>
            <w10:anchorlock/>
          </v:shape>
          <o:OLEObject Type="Embed" ProgID="Equation.3" ShapeID="_x0000_i1275" DrawAspect="Content" ObjectID="_1468075975" r:id="rId500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rFonts w:hint="eastAsia"/>
        </w:rPr>
        <w:t>资产或投资组合i 的截距</w:t>
      </w:r>
    </w:p>
    <w:p>
      <w:pPr>
        <w:ind w:firstLine="435"/>
      </w:pPr>
      <w:r>
        <w:rPr>
          <w:position w:val="-10"/>
          <w:szCs w:val="21"/>
          <w:vertAlign w:val="subscript"/>
        </w:rPr>
        <w:object>
          <v:shape id="_x0000_i1276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490" o:title=""/>
            <o:lock v:ext="edit" aspectratio="t"/>
            <w10:wrap type="none"/>
            <w10:anchorlock/>
          </v:shape>
          <o:OLEObject Type="Embed" ProgID="Equation.3" ShapeID="_x0000_i1276" DrawAspect="Content" ObjectID="_1468075976" r:id="rId501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rFonts w:hint="eastAsia"/>
        </w:rPr>
        <w:t>资产或投资组合i对指数回报的敏感性</w:t>
      </w:r>
    </w:p>
    <w:p>
      <w:pPr>
        <w:ind w:firstLine="435"/>
      </w:pPr>
      <w:r>
        <w:rPr>
          <w:position w:val="-12"/>
          <w:szCs w:val="21"/>
          <w:vertAlign w:val="subscript"/>
        </w:rPr>
        <w:object>
          <v:shape id="_x0000_i1277" o:spt="75" type="#_x0000_t75" style="height:17.85pt;width:20.95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502">
            <o:LockedField>false</o:LockedField>
          </o:OLEObject>
        </w:object>
      </w:r>
      <w:r>
        <w:rPr>
          <w:rFonts w:hint="eastAsia"/>
          <w:position w:val="-14"/>
          <w:szCs w:val="21"/>
          <w:vertAlign w:val="subscript"/>
        </w:rPr>
        <w:t xml:space="preserve">  </w:t>
      </w:r>
      <w:r>
        <w:rPr>
          <w:position w:val="-14"/>
          <w:szCs w:val="21"/>
          <w:vertAlign w:val="subscript"/>
        </w:rPr>
        <w:tab/>
      </w:r>
      <w:r>
        <w:rPr>
          <w:rFonts w:hint="eastAsia"/>
        </w:rPr>
        <w:t>市场投资组合回报率</w:t>
      </w:r>
    </w:p>
    <w:p>
      <w:pPr>
        <w:ind w:firstLine="435"/>
      </w:pPr>
      <w:r>
        <w:rPr>
          <w:position w:val="-12"/>
          <w:szCs w:val="21"/>
        </w:rPr>
        <w:object>
          <v:shape id="_x0000_i1278" o:spt="75" type="#_x0000_t75" style="height:18.9pt;width:14.3pt;" o:ole="t" filled="f" o:preferrelative="t" stroked="f" coordsize="21600,21600">
            <v:path/>
            <v:fill on="f" focussize="0,0"/>
            <v:stroke on="f" joinstyle="miter"/>
            <v:imagedata r:id="rId494" o:title=""/>
            <o:lock v:ext="edit" aspectratio="t"/>
            <w10:wrap type="none"/>
            <w10:anchorlock/>
          </v:shape>
          <o:OLEObject Type="Embed" ProgID="Equation.3" ShapeID="_x0000_i1278" DrawAspect="Content" ObjectID="_1468075978" r:id="rId504">
            <o:LockedField>false</o:LockedField>
          </o:OLEObject>
        </w:object>
      </w:r>
      <w:r>
        <w:rPr>
          <w:rFonts w:hint="eastAsia"/>
          <w:position w:val="-12"/>
          <w:szCs w:val="21"/>
        </w:rPr>
        <w:t xml:space="preserve">  </w:t>
      </w:r>
      <w:r>
        <w:rPr>
          <w:position w:val="-12"/>
          <w:szCs w:val="21"/>
        </w:rPr>
        <w:tab/>
      </w:r>
      <w:r>
        <w:rPr>
          <w:rFonts w:hint="eastAsia"/>
        </w:rPr>
        <w:t>随机误差项（</w:t>
      </w:r>
      <w:r>
        <w:rPr>
          <w:position w:val="-12"/>
          <w:szCs w:val="21"/>
        </w:rPr>
        <w:object>
          <v:shape id="_x0000_i1279" o:spt="75" type="#_x0000_t75" style="height:18.9pt;width:31.65pt;" o:ole="t" filled="f" o:preferrelative="t" stroked="f" coordsize="21600,21600">
            <v:path/>
            <v:fill on="f" focussize="0,0"/>
            <v:stroke on="f" joinstyle="miter"/>
            <v:imagedata r:id="rId496" o:title=""/>
            <o:lock v:ext="edit" aspectratio="t"/>
            <w10:wrap type="none"/>
            <w10:anchorlock/>
          </v:shape>
          <o:OLEObject Type="Embed" ProgID="Equation.3" ShapeID="_x0000_i1279" DrawAspect="Content" ObjectID="_1468075979" r:id="rId505">
            <o:LockedField>false</o:LockedField>
          </o:OLEObject>
        </w:object>
      </w:r>
      <w:r>
        <w:rPr>
          <w:rFonts w:hint="eastAsia"/>
        </w:rPr>
        <w:t>=0）</w:t>
      </w:r>
    </w:p>
    <w:p>
      <w:pPr>
        <w:jc w:val="center"/>
      </w:pPr>
    </w:p>
    <w:p>
      <w:pPr>
        <w:pStyle w:val="7"/>
        <w:rPr>
          <w:lang w:eastAsia="zh-CN"/>
        </w:rPr>
      </w:pPr>
      <w:r>
        <w:rPr>
          <w:rFonts w:hint="eastAsia"/>
          <w:lang w:eastAsia="zh-CN"/>
        </w:rPr>
        <w:t>市场模型的预期形式</w:t>
      </w:r>
    </w:p>
    <w:p>
      <w:pPr>
        <w:jc w:val="center"/>
        <w:rPr>
          <w:szCs w:val="21"/>
        </w:rPr>
      </w:pPr>
      <w:r>
        <w:rPr>
          <w:position w:val="-12"/>
        </w:rPr>
        <w:object>
          <v:shape id="_x0000_i1280" o:spt="75" type="#_x0000_t75" style="height:18.9pt;width:126.65pt;" o:ole="t" filled="f" o:preferrelative="t" stroked="f" coordsize="21600,21600">
            <v:path/>
            <v:fill on="f" focussize="0,0"/>
            <v:stroke on="f" joinstyle="miter"/>
            <v:imagedata r:id="rId507" o:title=""/>
            <o:lock v:ext="edit" aspectratio="t"/>
            <w10:wrap type="none"/>
            <w10:anchorlock/>
          </v:shape>
          <o:OLEObject Type="Embed" ProgID="Equation.3" ShapeID="_x0000_i1280" DrawAspect="Content" ObjectID="_1468075980" r:id="rId506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</w:pPr>
      <w:r>
        <w:rPr>
          <w:position w:val="-12"/>
          <w:szCs w:val="21"/>
        </w:rPr>
        <w:object>
          <v:shape id="_x0000_i1281" o:spt="75" type="#_x0000_t75" style="height:18.9pt;width:17.35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3" ShapeID="_x0000_i1281" DrawAspect="Content" ObjectID="_1468075981" r:id="rId508">
            <o:LockedField>false</o:LockedField>
          </o:OLEObject>
        </w:object>
      </w:r>
      <w:r>
        <w:rPr>
          <w:rFonts w:hint="eastAsia"/>
          <w:position w:val="-12"/>
          <w:szCs w:val="21"/>
        </w:rPr>
        <w:t xml:space="preserve">  </w:t>
      </w:r>
      <w:r>
        <w:rPr>
          <w:position w:val="-12"/>
          <w:szCs w:val="21"/>
        </w:rPr>
        <w:tab/>
      </w:r>
      <w:r>
        <w:rPr>
          <w:rFonts w:hint="eastAsia"/>
        </w:rPr>
        <w:t>资产或投资组合i 经过t期之后的回报率</w:t>
      </w:r>
    </w:p>
    <w:p>
      <w:pPr>
        <w:ind w:firstLine="435"/>
      </w:pPr>
      <w:r>
        <w:rPr>
          <w:position w:val="-10"/>
          <w:szCs w:val="21"/>
          <w:vertAlign w:val="subscript"/>
        </w:rPr>
        <w:object>
          <v:shape id="_x0000_i1282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488" o:title=""/>
            <o:lock v:ext="edit" aspectratio="t"/>
            <w10:wrap type="none"/>
            <w10:anchorlock/>
          </v:shape>
          <o:OLEObject Type="Embed" ProgID="Equation.3" ShapeID="_x0000_i1282" DrawAspect="Content" ObjectID="_1468075982" r:id="rId510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rFonts w:hint="eastAsia"/>
        </w:rPr>
        <w:t>资产或投资组合i 的截距</w:t>
      </w:r>
    </w:p>
    <w:p>
      <w:pPr>
        <w:ind w:firstLine="435"/>
      </w:pPr>
      <w:r>
        <w:rPr>
          <w:position w:val="-10"/>
          <w:szCs w:val="21"/>
          <w:vertAlign w:val="subscript"/>
        </w:rPr>
        <w:object>
          <v:shape id="_x0000_i1283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490" o:title=""/>
            <o:lock v:ext="edit" aspectratio="t"/>
            <w10:wrap type="none"/>
            <w10:anchorlock/>
          </v:shape>
          <o:OLEObject Type="Embed" ProgID="Equation.3" ShapeID="_x0000_i1283" DrawAspect="Content" ObjectID="_1468075983" r:id="rId511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rFonts w:hint="eastAsia"/>
        </w:rPr>
        <w:t>资产或投资组合i对指数的敏感性</w:t>
      </w:r>
    </w:p>
    <w:p>
      <w:pPr>
        <w:ind w:firstLine="435"/>
      </w:pPr>
      <w:r>
        <w:rPr>
          <w:position w:val="-12"/>
          <w:szCs w:val="21"/>
        </w:rPr>
        <w:object>
          <v:shape id="_x0000_i1284" o:spt="75" type="#_x0000_t75" style="height:18.9pt;width:22.45pt;" o:ole="t" filled="f" o:preferrelative="t" stroked="f" coordsize="21600,21600">
            <v:path/>
            <v:fill on="f" focussize="0,0"/>
            <v:stroke on="f" joinstyle="miter"/>
            <v:imagedata r:id="rId513" o:title=""/>
            <o:lock v:ext="edit" aspectratio="t"/>
            <w10:wrap type="none"/>
            <w10:anchorlock/>
          </v:shape>
          <o:OLEObject Type="Embed" ProgID="Equation.3" ShapeID="_x0000_i1284" DrawAspect="Content" ObjectID="_1468075984" r:id="rId512">
            <o:LockedField>false</o:LockedField>
          </o:OLEObject>
        </w:object>
      </w:r>
      <w:r>
        <w:rPr>
          <w:rFonts w:hint="eastAsia"/>
          <w:position w:val="-12"/>
          <w:szCs w:val="21"/>
        </w:rPr>
        <w:t xml:space="preserve">  </w:t>
      </w:r>
      <w:r>
        <w:rPr>
          <w:position w:val="-12"/>
          <w:szCs w:val="21"/>
        </w:rPr>
        <w:tab/>
      </w:r>
      <w:r>
        <w:rPr>
          <w:rFonts w:hint="eastAsia"/>
        </w:rPr>
        <w:t>市场组合的回报率</w:t>
      </w:r>
    </w:p>
    <w:p/>
    <w:p>
      <w:pPr>
        <w:pStyle w:val="6"/>
      </w:pPr>
      <w:r>
        <w:rPr>
          <w:rFonts w:hint="eastAsia"/>
        </w:rPr>
        <w:t>在市场模型或CAPM中两种资产的协方差</w:t>
      </w:r>
    </w:p>
    <w:p>
      <w:pPr>
        <w:jc w:val="center"/>
        <w:rPr>
          <w:szCs w:val="21"/>
        </w:rPr>
      </w:pPr>
      <w:r>
        <w:object>
          <v:shape id="_x0000_i1285" o:spt="75" type="#_x0000_t75" style="height:24pt;width:93.95pt;" o:ole="t" filled="f" o:preferrelative="t" stroked="f" coordsize="21600,21600">
            <v:path/>
            <v:fill on="f" focussize="0,0"/>
            <v:stroke on="f" joinstyle="miter"/>
            <v:imagedata r:id="rId515" o:title=""/>
            <o:lock v:ext="edit" aspectratio="t"/>
            <w10:wrap type="none"/>
            <w10:anchorlock/>
          </v:shape>
          <o:OLEObject Type="Embed" ProgID="Equation.3" ShapeID="_x0000_i1285" DrawAspect="Content" ObjectID="_1468075985" r:id="rId514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position w:val="-14"/>
          <w:szCs w:val="21"/>
          <w:vertAlign w:val="subscript"/>
        </w:rPr>
        <w:object>
          <v:shape id="_x0000_i1286" o:spt="75" type="#_x0000_t75" style="height:19.4pt;width:14.8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3" ShapeID="_x0000_i1286" DrawAspect="Content" ObjectID="_1468075986" r:id="rId516">
            <o:LockedField>false</o:LockedField>
          </o:OLEObject>
        </w:object>
      </w:r>
      <w:r>
        <w:rPr>
          <w:rFonts w:hint="eastAsia"/>
          <w:position w:val="-14"/>
          <w:szCs w:val="21"/>
          <w:vertAlign w:val="subscript"/>
        </w:rPr>
        <w:t xml:space="preserve">  </w:t>
      </w:r>
      <w:r>
        <w:rPr>
          <w:position w:val="-14"/>
          <w:szCs w:val="21"/>
          <w:vertAlign w:val="subscript"/>
        </w:rPr>
        <w:tab/>
      </w:r>
      <w:r>
        <w:rPr>
          <w:rFonts w:hint="eastAsia"/>
          <w:szCs w:val="21"/>
        </w:rPr>
        <w:t>资产i 和j回报率之间的协方差</w:t>
      </w:r>
    </w:p>
    <w:p>
      <w:pPr>
        <w:ind w:firstLine="435"/>
        <w:rPr>
          <w:szCs w:val="21"/>
        </w:rPr>
      </w:pPr>
      <w:r>
        <w:rPr>
          <w:position w:val="-10"/>
          <w:szCs w:val="21"/>
          <w:vertAlign w:val="subscript"/>
        </w:rPr>
        <w:object>
          <v:shape id="_x0000_i1287" o:spt="75" type="#_x0000_t75" style="height:17.35pt;width:13.3pt;" o:ole="t" filled="f" o:preferrelative="t" stroked="f" coordsize="21600,21600">
            <v:path/>
            <v:fill on="f" focussize="0,0"/>
            <v:stroke on="f" joinstyle="miter"/>
            <v:imagedata r:id="rId490" o:title=""/>
            <o:lock v:ext="edit" aspectratio="t"/>
            <w10:wrap type="none"/>
            <w10:anchorlock/>
          </v:shape>
          <o:OLEObject Type="Embed" ProgID="Equation.3" ShapeID="_x0000_i1287" DrawAspect="Content" ObjectID="_1468075987" r:id="rId518">
            <o:LockedField>false</o:LockedField>
          </o:OLEObject>
        </w:object>
      </w:r>
      <w:r>
        <w:rPr>
          <w:rFonts w:hint="eastAsia"/>
          <w:position w:val="-10"/>
          <w:szCs w:val="21"/>
          <w:vertAlign w:val="subscript"/>
        </w:rPr>
        <w:t xml:space="preserve">  </w:t>
      </w:r>
      <w:r>
        <w:rPr>
          <w:position w:val="-10"/>
          <w:szCs w:val="21"/>
          <w:vertAlign w:val="subscript"/>
        </w:rPr>
        <w:tab/>
      </w:r>
      <w:r>
        <w:rPr>
          <w:rFonts w:hint="eastAsia"/>
          <w:szCs w:val="21"/>
        </w:rPr>
        <w:t>投资组合i 的贝塔</w:t>
      </w:r>
    </w:p>
    <w:p>
      <w:pPr>
        <w:ind w:firstLine="435"/>
        <w:rPr>
          <w:szCs w:val="21"/>
        </w:rPr>
      </w:pPr>
      <w:r>
        <w:rPr>
          <w:position w:val="-14"/>
          <w:szCs w:val="21"/>
          <w:vertAlign w:val="subscript"/>
        </w:rPr>
        <w:object>
          <v:shape id="_x0000_i1288" o:spt="75" type="#_x0000_t75" style="height:19.4pt;width:14.3pt;" o:ole="t" filled="f" o:preferrelative="t" stroked="f" coordsize="21600,21600">
            <v:path/>
            <v:fill on="f" focussize="0,0"/>
            <v:stroke on="f" joinstyle="miter"/>
            <v:imagedata r:id="rId520" o:title=""/>
            <o:lock v:ext="edit" aspectratio="t"/>
            <w10:wrap type="none"/>
            <w10:anchorlock/>
          </v:shape>
          <o:OLEObject Type="Embed" ProgID="Equation.3" ShapeID="_x0000_i1288" DrawAspect="Content" ObjectID="_1468075988" r:id="rId519">
            <o:LockedField>false</o:LockedField>
          </o:OLEObject>
        </w:object>
      </w:r>
      <w:r>
        <w:rPr>
          <w:rFonts w:hint="eastAsia"/>
          <w:position w:val="-14"/>
          <w:szCs w:val="21"/>
          <w:vertAlign w:val="subscript"/>
        </w:rPr>
        <w:t xml:space="preserve">  </w:t>
      </w:r>
      <w:r>
        <w:rPr>
          <w:position w:val="-14"/>
          <w:szCs w:val="21"/>
          <w:vertAlign w:val="subscript"/>
        </w:rPr>
        <w:tab/>
      </w:r>
      <w:r>
        <w:rPr>
          <w:rFonts w:hint="eastAsia"/>
          <w:szCs w:val="21"/>
        </w:rPr>
        <w:t>投资组合j 的贝塔</w:t>
      </w:r>
    </w:p>
    <w:p>
      <w:pPr>
        <w:ind w:firstLine="435"/>
        <w:rPr>
          <w:szCs w:val="21"/>
        </w:rPr>
      </w:pPr>
      <w:r>
        <w:rPr>
          <w:szCs w:val="21"/>
          <w:vertAlign w:val="subscript"/>
        </w:rPr>
        <w:drawing>
          <wp:inline distT="0" distB="0" distL="0" distR="0">
            <wp:extent cx="161925" cy="161925"/>
            <wp:effectExtent l="0" t="0" r="0" b="0"/>
            <wp:docPr id="292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图片 131"/>
                    <pic:cNvPicPr>
                      <a:picLocks noChangeAspect="1" noChangeArrowheads="1"/>
                    </pic:cNvPicPr>
                  </pic:nvPicPr>
                  <pic:blipFill>
                    <a:blip r:embed="rId5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/>
          <w:szCs w:val="21"/>
        </w:rPr>
        <w:t>市场组合的回报率的方差</w:t>
      </w:r>
    </w:p>
    <w:p>
      <w:pPr>
        <w:rPr>
          <w:szCs w:val="21"/>
        </w:rPr>
      </w:pPr>
    </w:p>
    <w:p>
      <w:pPr>
        <w:pStyle w:val="7"/>
        <w:rPr>
          <w:lang w:eastAsia="zh-CN"/>
        </w:rPr>
      </w:pPr>
      <w:r>
        <w:rPr>
          <w:rFonts w:hint="eastAsia"/>
          <w:lang w:eastAsia="zh-CN"/>
        </w:rPr>
        <w:t>把方差分解成系统和可分散的风险</w:t>
      </w:r>
    </w:p>
    <w:p>
      <w:r>
        <w:rPr>
          <w:rFonts w:hint="eastAsia"/>
        </w:rPr>
        <w:t>在单一证券的情形下</w:t>
      </w:r>
    </w:p>
    <w:p>
      <w:pPr>
        <w:jc w:val="center"/>
        <w:rPr>
          <w:szCs w:val="21"/>
        </w:rPr>
      </w:pPr>
      <w:r>
        <w:rPr>
          <w:position w:val="-40"/>
          <w:sz w:val="20"/>
        </w:rPr>
        <w:object>
          <v:shape id="_x0000_i1289" o:spt="75" type="#_x0000_t75" style="height:33.7pt;width:96pt;" o:ole="t" filled="t" o:preferrelative="t" stroked="f" coordsize="21600,21600">
            <v:path/>
            <v:fill on="t" focussize="0,0"/>
            <v:stroke on="f" joinstyle="miter"/>
            <v:imagedata r:id="rId523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22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</w:pPr>
      <w:r>
        <w:rPr>
          <w:position w:val="-12"/>
          <w:sz w:val="22"/>
        </w:rPr>
        <w:object>
          <v:shape id="_x0000_i1290" o:spt="75" type="#_x0000_t75" style="height:18.9pt;width:16.35pt;" o:ole="t" filled="t" o:preferrelative="t" stroked="f" coordsize="21600,21600">
            <v:path/>
            <v:fill on="t" focussize="0,0"/>
            <v:stroke on="f" joinstyle="miter"/>
            <v:imagedata r:id="rId525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24">
            <o:LockedField>false</o:LockedField>
          </o:OLEObject>
        </w:object>
      </w:r>
      <w:r>
        <w:rPr>
          <w:position w:val="-12"/>
          <w:sz w:val="22"/>
        </w:rPr>
        <w:tab/>
      </w:r>
      <w:r>
        <w:rPr>
          <w:position w:val="-12"/>
          <w:sz w:val="22"/>
        </w:rPr>
        <w:tab/>
      </w:r>
      <w:r>
        <w:rPr>
          <w:rFonts w:hint="eastAsia"/>
        </w:rPr>
        <w:t>资产或投资组合i 的回报的总方差</w:t>
      </w:r>
    </w:p>
    <w:p>
      <w:pPr>
        <w:ind w:firstLine="435"/>
      </w:pPr>
      <w:r>
        <w:rPr>
          <w:position w:val="-12"/>
          <w:sz w:val="22"/>
        </w:rPr>
        <w:object>
          <v:shape id="_x0000_i1291" o:spt="75" type="#_x0000_t75" style="height:20.45pt;width:31.65pt;" o:ole="t" filled="t" o:preferrelative="t" stroked="f" coordsize="21600,21600">
            <v:path/>
            <v:fill on="t" focussize="0,0"/>
            <v:stroke on="f" joinstyle="miter"/>
            <v:imagedata r:id="rId527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26">
            <o:LockedField>false</o:LockedField>
          </o:OLEObject>
        </w:object>
      </w:r>
      <w:r>
        <w:rPr>
          <w:rFonts w:hint="eastAsia"/>
          <w:position w:val="-14"/>
          <w:sz w:val="22"/>
        </w:rPr>
        <w:t xml:space="preserve">  </w:t>
      </w:r>
      <w:r>
        <w:rPr>
          <w:rFonts w:hint="eastAsia"/>
        </w:rPr>
        <w:t>市场或系统风险（被解释的波动）</w:t>
      </w:r>
    </w:p>
    <w:p>
      <w:pPr>
        <w:ind w:firstLine="435"/>
      </w:pPr>
      <w:r>
        <w:rPr>
          <w:position w:val="-14"/>
          <w:sz w:val="22"/>
        </w:rPr>
        <w:object>
          <v:shape id="_x0000_i1292" o:spt="75" type="#_x0000_t75" style="height:20.45pt;width:17.35pt;" o:ole="t" filled="t" o:preferrelative="t" stroked="f" coordsize="21600,21600">
            <v:path/>
            <v:fill on="t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528">
            <o:LockedField>false</o:LockedField>
          </o:OLEObject>
        </w:object>
      </w:r>
      <w:r>
        <w:rPr>
          <w:rFonts w:hint="eastAsia"/>
          <w:position w:val="-20"/>
          <w:sz w:val="22"/>
        </w:rPr>
        <w:t xml:space="preserve">  </w:t>
      </w:r>
      <w:r>
        <w:rPr>
          <w:position w:val="-20"/>
          <w:sz w:val="22"/>
        </w:rPr>
        <w:tab/>
      </w:r>
      <w:r>
        <w:rPr>
          <w:rFonts w:hint="eastAsia"/>
        </w:rPr>
        <w:t>非系统风险或剩余风险（未解释的波动）</w:t>
      </w:r>
    </w:p>
    <w:p/>
    <w:p>
      <w:pPr>
        <w:rPr>
          <w:szCs w:val="21"/>
          <w:vertAlign w:val="superscript"/>
        </w:rPr>
      </w:pPr>
      <w:r>
        <w:rPr>
          <w:rFonts w:hint="eastAsia"/>
        </w:rPr>
        <w:t>指数模型的质量：R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</w:rPr>
        <w:t>和</w:t>
      </w:r>
      <w:r>
        <w:t>ρ</w:t>
      </w:r>
      <w:r>
        <w:rPr>
          <w:rFonts w:hint="eastAsia"/>
          <w:szCs w:val="21"/>
          <w:vertAlign w:val="superscript"/>
        </w:rPr>
        <w:t>2</w:t>
      </w:r>
    </w:p>
    <w:p>
      <w:pPr>
        <w:jc w:val="center"/>
        <w:rPr>
          <w:szCs w:val="21"/>
        </w:rPr>
      </w:pPr>
      <w:r>
        <w:object>
          <v:shape id="_x0000_i1293" o:spt="75" type="#_x0000_t75" style="height:51.55pt;width:230.3pt;" o:ole="t" filled="t" o:preferrelative="t" stroked="f" coordsize="21600,21600">
            <v:path/>
            <v:fill on="t" focussize="0,0"/>
            <v:stroke on="f" joinstyle="miter"/>
            <v:imagedata r:id="rId531" o:title=""/>
            <o:lock v:ext="edit" aspectratio="t"/>
            <w10:wrap type="none"/>
            <w10:anchorlock/>
          </v:shape>
          <o:OLEObject Type="Embed" ProgID="Equation.3" ShapeID="_x0000_i1293" DrawAspect="Content" ObjectID="_1468075993" r:id="rId530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rFonts w:hint="eastAsia"/>
        </w:rPr>
        <w:t>R</w:t>
      </w:r>
      <w:r>
        <w:rPr>
          <w:rFonts w:hint="eastAsia"/>
          <w:szCs w:val="21"/>
          <w:vertAlign w:val="superscript"/>
        </w:rPr>
        <w:t>2</w:t>
      </w:r>
      <w:r>
        <w:rPr>
          <w:szCs w:val="21"/>
          <w:vertAlign w:val="superscript"/>
        </w:rPr>
        <w:tab/>
      </w:r>
      <w:r>
        <w:rPr>
          <w:szCs w:val="21"/>
          <w:vertAlign w:val="superscript"/>
        </w:rPr>
        <w:tab/>
      </w:r>
      <w:r>
        <w:rPr>
          <w:rFonts w:hint="eastAsia"/>
          <w:szCs w:val="21"/>
        </w:rPr>
        <w:t>以Ri 对RI 做回归的相关系数</w:t>
      </w:r>
    </w:p>
    <w:p>
      <w:pPr>
        <w:ind w:firstLine="435"/>
        <w:rPr>
          <w:szCs w:val="21"/>
        </w:rPr>
      </w:pPr>
      <w:r>
        <w:rPr>
          <w:position w:val="-12"/>
          <w:sz w:val="20"/>
        </w:rPr>
        <w:object>
          <v:shape id="_x0000_i1294" o:spt="75" type="#_x0000_t75" style="height:18.9pt;width:17.35pt;" o:ole="t" filled="t" o:preferrelative="t" stroked="f" coordsize="21600,21600">
            <v:path/>
            <v:fill on="t" focussize="0,0"/>
            <v:stroke on="f" joinstyle="miter"/>
            <v:imagedata r:id="rId533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532">
            <o:LockedField>false</o:LockedField>
          </o:OLEObject>
        </w:object>
      </w:r>
      <w:r>
        <w:rPr>
          <w:position w:val="-12"/>
          <w:sz w:val="20"/>
        </w:rPr>
        <w:tab/>
      </w:r>
      <w:r>
        <w:rPr>
          <w:position w:val="-12"/>
          <w:sz w:val="20"/>
        </w:rPr>
        <w:tab/>
      </w:r>
      <w:r>
        <w:rPr>
          <w:rFonts w:hint="eastAsia"/>
          <w:szCs w:val="21"/>
        </w:rPr>
        <w:t>资产i的回报的总方差</w:t>
      </w:r>
    </w:p>
    <w:p>
      <w:pPr>
        <w:ind w:firstLine="435"/>
      </w:pPr>
      <w:r>
        <w:rPr>
          <w:position w:val="-12"/>
          <w:sz w:val="20"/>
        </w:rPr>
        <w:object>
          <v:shape id="_x0000_i1295" o:spt="75" type="#_x0000_t75" style="height:18.9pt;width:29.1pt;" o:ole="t" filled="t" o:preferrelative="t" stroked="f" coordsize="21600,21600">
            <v:path/>
            <v:fill on="t" focussize="0,0"/>
            <v:stroke on="f" joinstyle="miter"/>
            <v:imagedata r:id="rId535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534">
            <o:LockedField>false</o:LockedField>
          </o:OLEObject>
        </w:object>
      </w:r>
      <w:r>
        <w:rPr>
          <w:position w:val="-12"/>
          <w:sz w:val="20"/>
        </w:rPr>
        <w:tab/>
      </w:r>
      <w:r>
        <w:rPr>
          <w:rFonts w:hint="eastAsia"/>
          <w:szCs w:val="21"/>
        </w:rPr>
        <w:t>市场或系统风险（</w:t>
      </w:r>
      <w:r>
        <w:rPr>
          <w:rFonts w:hint="eastAsia"/>
        </w:rPr>
        <w:t>被解释的波动）</w:t>
      </w:r>
    </w:p>
    <w:p>
      <w:pPr>
        <w:ind w:firstLine="435"/>
      </w:pPr>
      <w:r>
        <w:rPr>
          <w:position w:val="-14"/>
          <w:sz w:val="20"/>
        </w:rPr>
        <w:object>
          <v:shape id="_x0000_i1296" o:spt="75" type="#_x0000_t75" style="height:20.45pt;width:17.35pt;" o:ole="t" filled="t" o:preferrelative="t" stroked="f" coordsize="21600,21600">
            <v:path/>
            <v:fill on="t" focussize="0,0"/>
            <v:stroke on="f" joinstyle="miter"/>
            <v:imagedata r:id="rId537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536">
            <o:LockedField>false</o:LockedField>
          </o:OLEObject>
        </w:object>
      </w:r>
      <w:r>
        <w:rPr>
          <w:position w:val="-20"/>
          <w:sz w:val="20"/>
        </w:rPr>
        <w:tab/>
      </w:r>
      <w:r>
        <w:rPr>
          <w:position w:val="-20"/>
          <w:sz w:val="20"/>
        </w:rPr>
        <w:tab/>
      </w:r>
      <w:r>
        <w:rPr>
          <w:rFonts w:hint="eastAsia"/>
        </w:rPr>
        <w:t>非系统风险或剩余风险（未解释的波动）</w:t>
      </w:r>
    </w:p>
    <w:p>
      <w:pPr>
        <w:ind w:firstLine="435"/>
      </w:pPr>
      <w:r>
        <w:rPr>
          <w:position w:val="-14"/>
          <w:sz w:val="20"/>
        </w:rPr>
        <w:object>
          <v:shape id="_x0000_i1297" o:spt="75" type="#_x0000_t75" style="height:24pt;width:18.9pt;" o:ole="t" filled="t" o:preferrelative="t" stroked="f" coordsize="21600,21600">
            <v:path/>
            <v:fill on="t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3" ShapeID="_x0000_i1297" DrawAspect="Content" ObjectID="_1468075997" r:id="rId538">
            <o:LockedField>false</o:LockedField>
          </o:OLEObject>
        </w:object>
      </w:r>
      <w:r>
        <w:rPr>
          <w:position w:val="-14"/>
          <w:sz w:val="20"/>
        </w:rPr>
        <w:tab/>
      </w:r>
      <w:r>
        <w:rPr>
          <w:position w:val="-14"/>
          <w:sz w:val="20"/>
        </w:rPr>
        <w:tab/>
      </w:r>
      <w:r>
        <w:rPr>
          <w:rFonts w:hint="eastAsia"/>
        </w:rPr>
        <w:t>资产i和指数I间的相关系数</w:t>
      </w:r>
    </w:p>
    <w:p/>
    <w:p>
      <w:pPr>
        <w:pStyle w:val="5"/>
        <w:rPr>
          <w:lang w:eastAsia="zh-CN"/>
        </w:rPr>
      </w:pPr>
      <w:r>
        <w:rPr>
          <w:rFonts w:hint="eastAsia"/>
          <w:lang w:eastAsia="zh-CN"/>
        </w:rPr>
        <w:t>1.</w:t>
      </w:r>
      <w:r>
        <w:rPr>
          <w:lang w:eastAsia="zh-CN"/>
        </w:rPr>
        <w:t xml:space="preserve">6  </w:t>
      </w:r>
      <w:r>
        <w:rPr>
          <w:rFonts w:hint="eastAsia"/>
          <w:lang w:eastAsia="zh-CN"/>
        </w:rPr>
        <w:t>多因素模型</w:t>
      </w:r>
    </w:p>
    <w:p>
      <w:pPr>
        <w:pStyle w:val="6"/>
      </w:pPr>
      <w:r>
        <w:rPr>
          <w:rFonts w:hint="eastAsia"/>
        </w:rPr>
        <w:t>多指数模型</w:t>
      </w:r>
    </w:p>
    <w:p>
      <w:pPr>
        <w:jc w:val="center"/>
      </w:pPr>
      <w:r>
        <w:rPr>
          <w:position w:val="-12"/>
          <w:sz w:val="20"/>
        </w:rPr>
        <w:object>
          <v:shape id="_x0000_i1298" o:spt="75" type="#_x0000_t75" style="height:18.9pt;width:174.65pt;" o:ole="t" filled="t" o:preferrelative="t" stroked="f" coordsize="21600,21600">
            <v:path/>
            <v:fill on="t" focussize="0,0"/>
            <v:stroke on="f" joinstyle="miter"/>
            <v:imagedata r:id="rId541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540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</w:pPr>
      <w:r>
        <w:rPr>
          <w:position w:val="-12"/>
          <w:szCs w:val="21"/>
        </w:rPr>
        <w:object>
          <v:shape id="_x0000_i1299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543" o:title=""/>
            <o:lock v:ext="edit" aspectratio="t"/>
            <w10:wrap type="none"/>
            <w10:anchorlock/>
          </v:shape>
          <o:OLEObject Type="Embed" ProgID="Equation.3" ShapeID="_x0000_i1299" DrawAspect="Content" ObjectID="_1468075999" r:id="rId542">
            <o:LockedField>false</o:LockedField>
          </o:OLEObject>
        </w:object>
      </w:r>
      <w:r>
        <w:rPr>
          <w:rFonts w:hint="eastAsia"/>
          <w:position w:val="-12"/>
          <w:szCs w:val="21"/>
        </w:rPr>
        <w:t xml:space="preserve">  </w:t>
      </w:r>
      <w:r>
        <w:rPr>
          <w:position w:val="-12"/>
          <w:szCs w:val="21"/>
        </w:rPr>
        <w:tab/>
      </w:r>
      <w:r>
        <w:rPr>
          <w:position w:val="-12"/>
          <w:szCs w:val="21"/>
        </w:rPr>
        <w:tab/>
      </w:r>
      <w:r>
        <w:rPr>
          <w:rFonts w:hint="eastAsia"/>
        </w:rPr>
        <w:t>资产或投资组合i的回报率</w:t>
      </w:r>
    </w:p>
    <w:p>
      <w:pPr>
        <w:ind w:firstLine="435"/>
      </w:pPr>
      <w:r>
        <w:rPr>
          <w:position w:val="-12"/>
        </w:rPr>
        <w:object>
          <v:shape id="_x0000_i1300" o:spt="75" type="#_x0000_t75" style="height:17.85pt;width:12.75pt;" o:ole="t" filled="f" o:preferrelative="t" stroked="f" coordsize="21600,21600">
            <v:path/>
            <v:fill on="f" focussize="0,0"/>
            <v:stroke on="f" joinstyle="miter"/>
            <v:imagedata r:id="rId545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544">
            <o:LockedField>false</o:LockedField>
          </o:OLEObject>
        </w:object>
      </w:r>
      <w:r>
        <w:tab/>
      </w:r>
      <w:r>
        <w:tab/>
      </w:r>
      <w:r>
        <w:tab/>
      </w:r>
      <w:r>
        <w:rPr>
          <w:rFonts w:hint="eastAsia"/>
        </w:rPr>
        <w:t>截距（常数）</w:t>
      </w:r>
    </w:p>
    <w:p>
      <w:pPr>
        <w:ind w:firstLine="435"/>
      </w:pPr>
      <w:r>
        <w:rPr>
          <w:position w:val="-14"/>
          <w:szCs w:val="21"/>
          <w:vertAlign w:val="subscript"/>
        </w:rPr>
        <w:object>
          <v:shape id="_x0000_i1301" o:spt="75" type="#_x0000_t75" style="height:19.4pt;width:14.8pt;" o:ole="t" filled="f" o:preferrelative="t" stroked="f" coordsize="21600,21600">
            <v:path/>
            <v:fill on="f" focussize="0,0"/>
            <v:stroke on="f" joinstyle="miter"/>
            <v:imagedata r:id="rId547" o:title=""/>
            <o:lock v:ext="edit" aspectratio="t"/>
            <w10:wrap type="none"/>
            <w10:anchorlock/>
          </v:shape>
          <o:OLEObject Type="Embed" ProgID="Equation.3" ShapeID="_x0000_i1301" DrawAspect="Content" ObjectID="_1468076001" r:id="rId546">
            <o:LockedField>false</o:LockedField>
          </o:OLEObject>
        </w:object>
      </w:r>
      <w:r>
        <w:rPr>
          <w:rFonts w:hint="eastAsia"/>
          <w:position w:val="-14"/>
          <w:szCs w:val="21"/>
          <w:vertAlign w:val="subscript"/>
        </w:rPr>
        <w:t xml:space="preserve">  </w:t>
      </w:r>
      <w:r>
        <w:rPr>
          <w:position w:val="-14"/>
          <w:szCs w:val="21"/>
          <w:vertAlign w:val="subscript"/>
        </w:rPr>
        <w:tab/>
      </w:r>
      <w:r>
        <w:rPr>
          <w:position w:val="-14"/>
          <w:szCs w:val="21"/>
          <w:vertAlign w:val="subscript"/>
        </w:rPr>
        <w:tab/>
      </w:r>
      <w:r>
        <w:rPr>
          <w:rFonts w:hint="eastAsia"/>
        </w:rPr>
        <w:t>资产i的回报对指数j变化的贝塔或敏感性</w:t>
      </w:r>
    </w:p>
    <w:p>
      <w:pPr>
        <w:ind w:firstLine="435"/>
      </w:pPr>
      <w:r>
        <w:rPr>
          <w:position w:val="-14"/>
        </w:rPr>
        <w:object>
          <v:shape id="_x0000_i1302" o:spt="75" type="#_x0000_t75" style="height:19.4pt;width:11.25pt;" o:ole="t" filled="f" o:preferrelative="t" stroked="f" coordsize="21600,21600">
            <v:path/>
            <v:fill on="f" focussize="0,0"/>
            <v:stroke on="f" joinstyle="miter"/>
            <v:imagedata r:id="rId549" o:title=""/>
            <o:lock v:ext="edit" aspectratio="t"/>
            <w10:wrap type="none"/>
            <w10:anchorlock/>
          </v:shape>
          <o:OLEObject Type="Embed" ProgID="Equation.3" ShapeID="_x0000_i1302" DrawAspect="Content" ObjectID="_1468076002" r:id="rId548">
            <o:LockedField>false</o:LockedField>
          </o:OLEObject>
        </w:object>
      </w:r>
      <w:r>
        <w:rPr>
          <w:rFonts w:hint="eastAsia"/>
          <w:position w:val="-14"/>
        </w:rPr>
        <w:t xml:space="preserve">  </w: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指数j</w:t>
      </w:r>
    </w:p>
    <w:p>
      <w:pPr>
        <w:ind w:firstLine="435"/>
      </w:pPr>
      <w:r>
        <w:rPr>
          <w:position w:val="-12"/>
          <w:szCs w:val="21"/>
        </w:rPr>
        <w:object>
          <v:shape id="_x0000_i1303" o:spt="75" type="#_x0000_t75" style="height:18.9pt;width:12.25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t"/>
            <w10:wrap type="none"/>
            <w10:anchorlock/>
          </v:shape>
          <o:OLEObject Type="Embed" ProgID="Equation.3" ShapeID="_x0000_i1303" DrawAspect="Content" ObjectID="_1468076003" r:id="rId550">
            <o:LockedField>false</o:LockedField>
          </o:OLEObject>
        </w:object>
      </w:r>
      <w:r>
        <w:rPr>
          <w:rFonts w:hint="eastAsia"/>
          <w:position w:val="-12"/>
          <w:szCs w:val="21"/>
        </w:rPr>
        <w:t xml:space="preserve">  </w:t>
      </w:r>
      <w:r>
        <w:rPr>
          <w:position w:val="-12"/>
          <w:szCs w:val="21"/>
        </w:rPr>
        <w:tab/>
      </w:r>
      <w:r>
        <w:rPr>
          <w:position w:val="-12"/>
          <w:szCs w:val="21"/>
        </w:rPr>
        <w:tab/>
      </w:r>
      <w:r>
        <w:rPr>
          <w:rFonts w:hint="eastAsia"/>
        </w:rPr>
        <w:t>随机误差项</w:t>
      </w:r>
    </w:p>
    <w:p>
      <w:pPr>
        <w:ind w:firstLine="435"/>
      </w:pPr>
      <w:r>
        <w:rPr>
          <w:rFonts w:hint="eastAsia"/>
        </w:rPr>
        <w:t xml:space="preserve">n   </w:t>
      </w:r>
      <w:r>
        <w:tab/>
      </w:r>
      <w:r>
        <w:tab/>
      </w:r>
      <w:r>
        <w:rPr>
          <w:rFonts w:hint="eastAsia"/>
        </w:rPr>
        <w:t>指数的数量</w:t>
      </w:r>
    </w:p>
    <w:p/>
    <w:p>
      <w:r>
        <w:rPr>
          <w:rFonts w:hint="eastAsia"/>
        </w:rPr>
        <w:t>多指数模型的组合方差（每个指数假定相互无关联）</w:t>
      </w:r>
    </w:p>
    <w:p>
      <w:pPr>
        <w:jc w:val="center"/>
        <w:rPr>
          <w:szCs w:val="21"/>
        </w:rPr>
      </w:pPr>
      <w:r>
        <w:rPr>
          <w:position w:val="-12"/>
        </w:rPr>
        <w:object>
          <v:shape id="_x0000_i1304" o:spt="75" type="#_x0000_t75" style="height:20.45pt;width:168.5pt;" o:ole="t" filled="f" o:preferrelative="t" stroked="f" coordsize="21600,21600">
            <v:path/>
            <v:fill on="f" focussize="0,0"/>
            <v:stroke on="f" joinstyle="miter"/>
            <v:imagedata r:id="rId553" o:title=""/>
            <o:lock v:ext="edit" aspectratio="t"/>
            <w10:wrap type="none"/>
            <w10:anchorlock/>
          </v:shape>
          <o:OLEObject Type="Embed" ProgID="Equation.3" ShapeID="_x0000_i1304" DrawAspect="Content" ObjectID="_1468076004" r:id="rId552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35"/>
        <w:rPr>
          <w:szCs w:val="21"/>
        </w:rPr>
      </w:pPr>
      <w:r>
        <w:rPr>
          <w:position w:val="-10"/>
          <w:sz w:val="20"/>
        </w:rPr>
        <w:object>
          <v:shape id="_x0000_i1305" o:spt="75" type="#_x0000_t75" style="height:18.9pt;width:16.35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3" ShapeID="_x0000_i1305" DrawAspect="Content" ObjectID="_1468076005" r:id="rId554">
            <o:LockedField>false</o:LockedField>
          </o:OLEObject>
        </w:object>
      </w:r>
      <w:r>
        <w:rPr>
          <w:rFonts w:hint="eastAsia"/>
          <w:position w:val="-10"/>
          <w:sz w:val="20"/>
        </w:rPr>
        <w:t xml:space="preserve">  </w:t>
      </w:r>
      <w:r>
        <w:rPr>
          <w:position w:val="-10"/>
          <w:sz w:val="20"/>
        </w:rPr>
        <w:tab/>
      </w:r>
      <w:r>
        <w:rPr>
          <w:position w:val="-10"/>
          <w:sz w:val="20"/>
        </w:rPr>
        <w:tab/>
      </w:r>
      <w:r>
        <w:rPr>
          <w:rFonts w:hint="eastAsia"/>
          <w:szCs w:val="21"/>
        </w:rPr>
        <w:t>投资组合的方差</w:t>
      </w:r>
    </w:p>
    <w:p>
      <w:pPr>
        <w:ind w:firstLine="435"/>
        <w:rPr>
          <w:szCs w:val="21"/>
        </w:rPr>
      </w:pPr>
      <w:r>
        <w:rPr>
          <w:position w:val="-10"/>
          <w:sz w:val="20"/>
        </w:rPr>
        <w:object>
          <v:shape id="_x0000_i1306" o:spt="75" type="#_x0000_t75" style="height:18.9pt;width:16.35pt;" o:ole="t" filled="f" o:preferrelative="t" stroked="f" coordsize="21600,21600">
            <v:path/>
            <v:fill on="f" focussize="0,0"/>
            <v:stroke on="f" joinstyle="miter"/>
            <v:imagedata r:id="rId557" o:title=""/>
            <o:lock v:ext="edit" aspectratio="t"/>
            <w10:wrap type="none"/>
            <w10:anchorlock/>
          </v:shape>
          <o:OLEObject Type="Embed" ProgID="Equation.3" ShapeID="_x0000_i1306" DrawAspect="Content" ObjectID="_1468076006" r:id="rId556">
            <o:LockedField>false</o:LockedField>
          </o:OLEObject>
        </w:object>
      </w:r>
      <w:r>
        <w:rPr>
          <w:rFonts w:hint="eastAsia"/>
          <w:position w:val="-10"/>
          <w:sz w:val="20"/>
        </w:rPr>
        <w:t xml:space="preserve">  </w:t>
      </w:r>
      <w:r>
        <w:rPr>
          <w:position w:val="-10"/>
          <w:sz w:val="20"/>
        </w:rPr>
        <w:tab/>
      </w:r>
      <w:r>
        <w:rPr>
          <w:position w:val="-10"/>
          <w:sz w:val="20"/>
        </w:rPr>
        <w:tab/>
      </w:r>
      <w:r>
        <w:rPr>
          <w:rFonts w:hint="eastAsia"/>
          <w:szCs w:val="21"/>
        </w:rPr>
        <w:t>资产或投资组合i的方差</w:t>
      </w:r>
    </w:p>
    <w:p>
      <w:pPr>
        <w:ind w:firstLine="435"/>
        <w:rPr>
          <w:szCs w:val="21"/>
        </w:rPr>
      </w:pPr>
      <w:r>
        <w:rPr>
          <w:position w:val="-14"/>
          <w:sz w:val="20"/>
        </w:rPr>
        <w:object>
          <v:shape id="_x0000_i1307" o:spt="75" type="#_x0000_t75" style="height:21.95pt;width:36.75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3" ShapeID="_x0000_i1307" DrawAspect="Content" ObjectID="_1468076007" r:id="rId558">
            <o:LockedField>false</o:LockedField>
          </o:OLEObject>
        </w:object>
      </w:r>
      <w:r>
        <w:rPr>
          <w:rFonts w:hint="eastAsia"/>
          <w:position w:val="-14"/>
          <w:sz w:val="20"/>
        </w:rPr>
        <w:t xml:space="preserve"> </w:t>
      </w:r>
      <w:r>
        <w:rPr>
          <w:position w:val="-14"/>
          <w:sz w:val="20"/>
        </w:rPr>
        <w:tab/>
      </w:r>
      <w:r>
        <w:rPr>
          <w:rFonts w:hint="eastAsia"/>
          <w:szCs w:val="21"/>
        </w:rPr>
        <w:t>源于指数j的系统风险</w:t>
      </w:r>
    </w:p>
    <w:p>
      <w:pPr>
        <w:ind w:firstLine="435"/>
        <w:rPr>
          <w:szCs w:val="21"/>
        </w:rPr>
      </w:pPr>
      <w:r>
        <w:rPr>
          <w:position w:val="-12"/>
          <w:sz w:val="20"/>
        </w:rPr>
        <w:object>
          <v:shape id="_x0000_i1308" o:spt="75" type="#_x0000_t75" style="height:18.9pt;width:20.45pt;" o:ole="t" filled="f" o:preferrelative="t" stroked="f" coordsize="21600,21600">
            <v:path/>
            <v:fill on="f" focussize="0,0"/>
            <v:stroke on="f" joinstyle="miter"/>
            <v:imagedata r:id="rId561" o:title=""/>
            <o:lock v:ext="edit" aspectratio="t"/>
            <w10:wrap type="none"/>
            <w10:anchorlock/>
          </v:shape>
          <o:OLEObject Type="Embed" ProgID="Equation.DSMT4" ShapeID="_x0000_i1308" DrawAspect="Content" ObjectID="_1468076008" r:id="rId560">
            <o:LockedField>false</o:LockedField>
          </o:OLEObject>
        </w:object>
      </w:r>
      <w:r>
        <w:rPr>
          <w:rFonts w:hint="eastAsia"/>
          <w:position w:val="-10"/>
          <w:sz w:val="20"/>
        </w:rPr>
        <w:t xml:space="preserve">  </w:t>
      </w:r>
      <w:r>
        <w:rPr>
          <w:position w:val="-10"/>
          <w:sz w:val="20"/>
        </w:rPr>
        <w:tab/>
      </w:r>
      <w:r>
        <w:rPr>
          <w:position w:val="-10"/>
          <w:sz w:val="20"/>
        </w:rPr>
        <w:tab/>
      </w:r>
      <w:r>
        <w:rPr>
          <w:rFonts w:hint="eastAsia"/>
          <w:szCs w:val="21"/>
        </w:rPr>
        <w:t>剩余风险</w:t>
      </w:r>
    </w:p>
    <w:p>
      <w:pPr>
        <w:ind w:firstLine="435"/>
        <w:rPr>
          <w:szCs w:val="21"/>
        </w:rPr>
      </w:pPr>
      <w:r>
        <w:rPr>
          <w:rFonts w:hint="eastAsia"/>
          <w:i/>
          <w:iCs/>
          <w:szCs w:val="21"/>
        </w:rPr>
        <w:t xml:space="preserve">n   </w:t>
      </w:r>
      <w:r>
        <w:rPr>
          <w:i/>
          <w:iCs/>
          <w:szCs w:val="21"/>
        </w:rPr>
        <w:tab/>
      </w:r>
      <w:r>
        <w:rPr>
          <w:i/>
          <w:iCs/>
          <w:szCs w:val="21"/>
        </w:rPr>
        <w:tab/>
      </w:r>
      <w:r>
        <w:rPr>
          <w:rFonts w:hint="eastAsia"/>
          <w:szCs w:val="21"/>
        </w:rPr>
        <w:t>指数的数量</w:t>
      </w:r>
    </w:p>
    <w:p>
      <w:pPr>
        <w:rPr>
          <w:szCs w:val="21"/>
        </w:rPr>
      </w:pPr>
    </w:p>
    <w:p>
      <w:pPr>
        <w:pStyle w:val="3"/>
        <w:rPr>
          <w:lang w:eastAsia="zh-CN"/>
        </w:rPr>
      </w:pPr>
      <w:bookmarkStart w:id="39" w:name="_Toc10812"/>
      <w:r>
        <w:rPr>
          <w:rFonts w:hint="eastAsia"/>
          <w:lang w:eastAsia="zh-CN"/>
        </w:rPr>
        <w:t>2 套利定价理论（A</w:t>
      </w:r>
      <w:r>
        <w:rPr>
          <w:lang w:eastAsia="zh-CN"/>
        </w:rPr>
        <w:t>PT</w:t>
      </w:r>
      <w:r>
        <w:rPr>
          <w:rFonts w:hint="eastAsia"/>
          <w:lang w:eastAsia="zh-CN"/>
        </w:rPr>
        <w:t>）</w:t>
      </w:r>
      <w:bookmarkEnd w:id="39"/>
    </w:p>
    <w:p>
      <w:pPr>
        <w:pStyle w:val="3"/>
        <w:jc w:val="center"/>
        <w:rPr>
          <w:rFonts w:ascii="宋体" w:hAnsi="宋体"/>
          <w:b w:val="0"/>
          <w:bCs w:val="0"/>
          <w:sz w:val="21"/>
          <w:szCs w:val="21"/>
        </w:rPr>
      </w:pPr>
      <w:bookmarkStart w:id="40" w:name="_Toc20878"/>
      <w:bookmarkStart w:id="41" w:name="_Toc25375"/>
      <w:bookmarkStart w:id="42" w:name="_Toc10004"/>
      <w:bookmarkStart w:id="43" w:name="_Toc27444"/>
      <w:r>
        <w:rPr>
          <w:rFonts w:ascii="宋体" w:hAnsi="宋体"/>
          <w:b w:val="0"/>
          <w:bCs w:val="0"/>
          <w:sz w:val="21"/>
          <w:szCs w:val="21"/>
        </w:rPr>
        <w:object>
          <v:shape id="_x0000_i1309" o:spt="75" type="#_x0000_t75" style="height:36.25pt;width:102.65pt;" o:ole="t" filled="f" o:preferrelative="t" stroked="f" coordsize="21600,21600">
            <v:path/>
            <v:fill on="f" focussize="0,0"/>
            <v:stroke on="f" joinstyle="miter"/>
            <v:imagedata r:id="rId563" o:title=""/>
            <o:lock v:ext="edit" aspectratio="t"/>
            <w10:wrap type="none"/>
            <w10:anchorlock/>
          </v:shape>
          <o:OLEObject Type="Embed" ProgID="Equation.DSMT4" ShapeID="_x0000_i1309" DrawAspect="Content" ObjectID="_1468076009" r:id="rId562">
            <o:LockedField>false</o:LockedField>
          </o:OLEObject>
        </w:object>
      </w:r>
      <w:bookmarkEnd w:id="40"/>
      <w:bookmarkEnd w:id="41"/>
      <w:bookmarkEnd w:id="42"/>
      <w:bookmarkEnd w:id="43"/>
    </w:p>
    <w:p>
      <w:pPr>
        <w:pStyle w:val="3"/>
        <w:rPr>
          <w:rFonts w:ascii="宋体" w:hAnsi="宋体"/>
          <w:b w:val="0"/>
          <w:bCs w:val="0"/>
          <w:sz w:val="21"/>
          <w:szCs w:val="21"/>
          <w:lang w:eastAsia="zh-CN"/>
        </w:rPr>
      </w:pPr>
      <w:bookmarkStart w:id="44" w:name="_Toc27517"/>
      <w:bookmarkStart w:id="45" w:name="_Toc16072"/>
      <w:bookmarkStart w:id="46" w:name="_Toc9516"/>
      <w:bookmarkStart w:id="47" w:name="_Toc3508"/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此处</w:t>
      </w:r>
      <w:bookmarkEnd w:id="44"/>
      <w:bookmarkEnd w:id="45"/>
      <w:bookmarkEnd w:id="46"/>
      <w:bookmarkEnd w:id="47"/>
    </w:p>
    <w:p>
      <w:pPr>
        <w:pStyle w:val="3"/>
        <w:rPr>
          <w:rFonts w:ascii="宋体" w:hAnsi="宋体"/>
          <w:b w:val="0"/>
          <w:bCs w:val="0"/>
          <w:sz w:val="21"/>
          <w:szCs w:val="21"/>
          <w:lang w:eastAsia="zh-CN"/>
        </w:rPr>
      </w:pPr>
      <w:bookmarkStart w:id="48" w:name="_Toc8077"/>
      <w:bookmarkStart w:id="49" w:name="_Toc6831"/>
      <w:bookmarkStart w:id="50" w:name="_Toc18028"/>
      <w:bookmarkStart w:id="51" w:name="_Toc10288"/>
      <w:r>
        <w:rPr>
          <w:rFonts w:ascii="宋体" w:hAnsi="宋体"/>
          <w:b w:val="0"/>
          <w:bCs w:val="0"/>
          <w:sz w:val="21"/>
          <w:szCs w:val="21"/>
        </w:rPr>
        <w:object>
          <v:shape id="_x0000_i1310" o:spt="75" type="#_x0000_t75" style="height:18.9pt;width:33.2pt;" o:ole="t" filled="f" o:preferrelative="t" stroked="f" coordsize="21600,21600">
            <v:path/>
            <v:fill on="f" focussize="0,0"/>
            <v:stroke on="f" joinstyle="miter"/>
            <v:imagedata r:id="rId565" o:title=""/>
            <o:lock v:ext="edit" aspectratio="t"/>
            <w10:wrap type="none"/>
            <w10:anchorlock/>
          </v:shape>
          <o:OLEObject Type="Embed" ProgID="Equation.3" ShapeID="_x0000_i1310" DrawAspect="Content" ObjectID="_1468076010" r:id="rId564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 xml:space="preserve">  </w:t>
      </w:r>
      <w:r>
        <w:rPr>
          <w:rFonts w:ascii="宋体" w:hAnsi="宋体"/>
          <w:b w:val="0"/>
          <w:bCs w:val="0"/>
          <w:sz w:val="21"/>
          <w:szCs w:val="21"/>
          <w:lang w:eastAsia="zh-CN"/>
        </w:rPr>
        <w:tab/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资产i的预期回报率</w:t>
      </w:r>
      <w:bookmarkEnd w:id="48"/>
      <w:bookmarkEnd w:id="49"/>
      <w:bookmarkEnd w:id="50"/>
      <w:bookmarkEnd w:id="51"/>
    </w:p>
    <w:p>
      <w:pPr>
        <w:pStyle w:val="3"/>
        <w:rPr>
          <w:rFonts w:ascii="宋体" w:hAnsi="宋体"/>
          <w:b w:val="0"/>
          <w:bCs w:val="0"/>
          <w:sz w:val="21"/>
          <w:szCs w:val="21"/>
          <w:lang w:eastAsia="zh-CN"/>
        </w:rPr>
      </w:pPr>
      <w:bookmarkStart w:id="52" w:name="_Toc6711"/>
      <w:bookmarkStart w:id="53" w:name="_Toc8907"/>
      <w:bookmarkStart w:id="54" w:name="_Toc25025"/>
      <w:bookmarkStart w:id="55" w:name="_Toc31800"/>
      <w:r>
        <w:rPr>
          <w:rFonts w:ascii="宋体" w:hAnsi="宋体"/>
          <w:b w:val="0"/>
          <w:bCs w:val="0"/>
          <w:sz w:val="21"/>
          <w:szCs w:val="21"/>
          <w:vertAlign w:val="subscript"/>
        </w:rPr>
        <w:object>
          <v:shape id="_x0000_i1311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567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566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z w:val="21"/>
          <w:szCs w:val="21"/>
          <w:vertAlign w:val="subscript"/>
          <w:lang w:eastAsia="zh-CN"/>
        </w:rPr>
        <w:t xml:space="preserve">  </w:t>
      </w:r>
      <w:r>
        <w:rPr>
          <w:rFonts w:ascii="宋体" w:hAnsi="宋体"/>
          <w:b w:val="0"/>
          <w:bCs w:val="0"/>
          <w:sz w:val="21"/>
          <w:szCs w:val="21"/>
          <w:vertAlign w:val="subscript"/>
          <w:lang w:eastAsia="zh-CN"/>
        </w:rPr>
        <w:tab/>
      </w:r>
      <w:r>
        <w:rPr>
          <w:rFonts w:ascii="宋体" w:hAnsi="宋体"/>
          <w:b w:val="0"/>
          <w:bCs w:val="0"/>
          <w:sz w:val="21"/>
          <w:szCs w:val="21"/>
          <w:vertAlign w:val="subscript"/>
          <w:lang w:eastAsia="zh-CN"/>
        </w:rPr>
        <w:tab/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无风险利率</w:t>
      </w:r>
      <w:bookmarkEnd w:id="52"/>
      <w:bookmarkEnd w:id="53"/>
      <w:bookmarkEnd w:id="54"/>
      <w:bookmarkEnd w:id="55"/>
    </w:p>
    <w:p>
      <w:pPr>
        <w:pStyle w:val="3"/>
        <w:rPr>
          <w:rFonts w:ascii="宋体" w:hAnsi="宋体"/>
          <w:b w:val="0"/>
          <w:bCs w:val="0"/>
          <w:sz w:val="21"/>
          <w:szCs w:val="21"/>
          <w:lang w:eastAsia="zh-CN"/>
        </w:rPr>
      </w:pPr>
      <w:bookmarkStart w:id="56" w:name="_Toc20568"/>
      <w:bookmarkStart w:id="57" w:name="_Toc15791"/>
      <w:bookmarkStart w:id="58" w:name="_Toc23921"/>
      <w:bookmarkStart w:id="59" w:name="_Toc22873"/>
      <w:r>
        <w:rPr>
          <w:rFonts w:ascii="宋体" w:hAnsi="宋体"/>
          <w:b w:val="0"/>
          <w:bCs w:val="0"/>
          <w:sz w:val="21"/>
          <w:szCs w:val="21"/>
          <w:vertAlign w:val="subscript"/>
        </w:rPr>
        <w:object>
          <v:shape id="_x0000_i1312" o:spt="75" type="#_x0000_t75" style="height:19.4pt;width:13.3pt;" o:ole="t" filled="f" o:preferrelative="t" stroked="f" coordsize="21600,21600">
            <v:path/>
            <v:fill on="f" focussize="0,0"/>
            <v:stroke on="f" joinstyle="miter"/>
            <v:imagedata r:id="rId569" o:title=""/>
            <o:lock v:ext="edit" aspectratio="t"/>
            <w10:wrap type="none"/>
            <w10:anchorlock/>
          </v:shape>
          <o:OLEObject Type="Embed" ProgID="Equation.3" ShapeID="_x0000_i1312" DrawAspect="Content" ObjectID="_1468076012" r:id="rId568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z w:val="21"/>
          <w:szCs w:val="21"/>
          <w:vertAlign w:val="subscript"/>
          <w:lang w:eastAsia="zh-CN"/>
        </w:rPr>
        <w:t xml:space="preserve">  </w:t>
      </w:r>
      <w:r>
        <w:rPr>
          <w:rFonts w:ascii="宋体" w:hAnsi="宋体"/>
          <w:b w:val="0"/>
          <w:bCs w:val="0"/>
          <w:sz w:val="21"/>
          <w:szCs w:val="21"/>
          <w:vertAlign w:val="subscript"/>
          <w:lang w:eastAsia="zh-CN"/>
        </w:rPr>
        <w:tab/>
      </w:r>
      <w:r>
        <w:rPr>
          <w:rFonts w:ascii="宋体" w:hAnsi="宋体"/>
          <w:b w:val="0"/>
          <w:bCs w:val="0"/>
          <w:sz w:val="21"/>
          <w:szCs w:val="21"/>
          <w:vertAlign w:val="subscript"/>
          <w:lang w:eastAsia="zh-CN"/>
        </w:rPr>
        <w:tab/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每单位风险敏感性（对于风险j）的预期回报溢价</w:t>
      </w:r>
      <w:bookmarkEnd w:id="56"/>
      <w:bookmarkEnd w:id="57"/>
      <w:bookmarkEnd w:id="58"/>
      <w:bookmarkEnd w:id="59"/>
    </w:p>
    <w:p>
      <w:pPr>
        <w:pStyle w:val="3"/>
        <w:rPr>
          <w:rFonts w:ascii="宋体" w:hAnsi="宋体"/>
          <w:b w:val="0"/>
          <w:bCs w:val="0"/>
          <w:sz w:val="21"/>
          <w:szCs w:val="21"/>
          <w:lang w:eastAsia="zh-CN"/>
        </w:rPr>
      </w:pPr>
      <w:bookmarkStart w:id="60" w:name="_Toc15240"/>
      <w:bookmarkStart w:id="61" w:name="_Toc32580"/>
      <w:bookmarkStart w:id="62" w:name="_Toc24710"/>
      <w:bookmarkStart w:id="63" w:name="_Toc11067"/>
      <w:r>
        <w:rPr>
          <w:rFonts w:ascii="宋体" w:hAnsi="宋体"/>
          <w:b w:val="0"/>
          <w:bCs w:val="0"/>
          <w:sz w:val="21"/>
          <w:szCs w:val="21"/>
          <w:vertAlign w:val="subscript"/>
        </w:rPr>
        <w:object>
          <v:shape id="_x0000_i1313" o:spt="75" type="#_x0000_t75" style="height:19.4pt;width:14.8pt;" o:ole="t" filled="f" o:preferrelative="t" stroked="f" coordsize="21600,21600">
            <v:path/>
            <v:fill on="f" focussize="0,0"/>
            <v:stroke on="f" joinstyle="miter"/>
            <v:imagedata r:id="rId571" o:title=""/>
            <o:lock v:ext="edit" aspectratio="t"/>
            <w10:wrap type="none"/>
            <w10:anchorlock/>
          </v:shape>
          <o:OLEObject Type="Embed" ProgID="Equation.3" ShapeID="_x0000_i1313" DrawAspect="Content" ObjectID="_1468076013" r:id="rId570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z w:val="21"/>
          <w:szCs w:val="21"/>
          <w:vertAlign w:val="subscript"/>
          <w:lang w:eastAsia="zh-CN"/>
        </w:rPr>
        <w:t xml:space="preserve">  </w:t>
      </w:r>
      <w:r>
        <w:rPr>
          <w:rFonts w:ascii="宋体" w:hAnsi="宋体"/>
          <w:b w:val="0"/>
          <w:bCs w:val="0"/>
          <w:sz w:val="21"/>
          <w:szCs w:val="21"/>
          <w:vertAlign w:val="subscript"/>
          <w:lang w:eastAsia="zh-CN"/>
        </w:rPr>
        <w:tab/>
      </w:r>
      <w:r>
        <w:rPr>
          <w:rFonts w:ascii="宋体" w:hAnsi="宋体"/>
          <w:b w:val="0"/>
          <w:bCs w:val="0"/>
          <w:sz w:val="21"/>
          <w:szCs w:val="21"/>
          <w:vertAlign w:val="subscript"/>
          <w:lang w:eastAsia="zh-CN"/>
        </w:rPr>
        <w:tab/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资产i对因素j的敏感性</w:t>
      </w:r>
      <w:bookmarkEnd w:id="60"/>
      <w:bookmarkEnd w:id="61"/>
      <w:bookmarkEnd w:id="62"/>
      <w:bookmarkEnd w:id="63"/>
    </w:p>
    <w:p>
      <w:pPr>
        <w:pStyle w:val="3"/>
        <w:rPr>
          <w:rFonts w:ascii="宋体" w:hAnsi="宋体"/>
          <w:b w:val="0"/>
          <w:bCs w:val="0"/>
          <w:sz w:val="21"/>
          <w:szCs w:val="21"/>
          <w:lang w:eastAsia="zh-CN"/>
        </w:rPr>
      </w:pPr>
      <w:bookmarkStart w:id="64" w:name="_Toc4465"/>
      <w:bookmarkStart w:id="65" w:name="_Toc16370"/>
      <w:bookmarkStart w:id="66" w:name="_Toc5957"/>
      <w:bookmarkStart w:id="67" w:name="_Toc23282"/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 xml:space="preserve">N   </w:t>
      </w:r>
      <w:r>
        <w:rPr>
          <w:rFonts w:ascii="宋体" w:hAnsi="宋体"/>
          <w:b w:val="0"/>
          <w:bCs w:val="0"/>
          <w:sz w:val="21"/>
          <w:szCs w:val="21"/>
          <w:lang w:eastAsia="zh-CN"/>
        </w:rPr>
        <w:tab/>
      </w:r>
      <w:r>
        <w:rPr>
          <w:rFonts w:ascii="宋体" w:hAnsi="宋体"/>
          <w:b w:val="0"/>
          <w:bCs w:val="0"/>
          <w:sz w:val="21"/>
          <w:szCs w:val="21"/>
          <w:lang w:eastAsia="zh-CN"/>
        </w:rPr>
        <w:tab/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风险因素的数量</w:t>
      </w:r>
      <w:bookmarkEnd w:id="64"/>
      <w:bookmarkEnd w:id="65"/>
      <w:bookmarkEnd w:id="66"/>
      <w:bookmarkEnd w:id="67"/>
    </w:p>
    <w:p/>
    <w:p/>
    <w:p>
      <w:pPr>
        <w:pStyle w:val="3"/>
        <w:rPr>
          <w:rFonts w:hint="eastAsia" w:cs="Arial"/>
          <w:lang w:eastAsia="zh-CN"/>
        </w:rPr>
      </w:pPr>
      <w:bookmarkStart w:id="68" w:name="_Toc30759"/>
      <w:r>
        <w:rPr>
          <w:rFonts w:hint="eastAsia" w:cs="Arial"/>
          <w:lang w:eastAsia="zh-CN"/>
        </w:rPr>
        <w:t>3资产/负债分析和管理</w:t>
      </w:r>
      <w:bookmarkEnd w:id="68"/>
    </w:p>
    <w:p>
      <w:pPr>
        <w:pStyle w:val="4"/>
        <w:rPr>
          <w:rFonts w:hint="eastAsia" w:cs="Arial"/>
          <w:szCs w:val="24"/>
          <w:lang w:eastAsia="zh-CN"/>
        </w:rPr>
      </w:pPr>
      <w:bookmarkStart w:id="69" w:name="_Toc1578"/>
      <w:r>
        <w:rPr>
          <w:rFonts w:hint="eastAsia" w:cs="Arial"/>
          <w:szCs w:val="24"/>
          <w:lang w:eastAsia="zh-CN"/>
        </w:rPr>
        <w:t>3.1</w:t>
      </w:r>
      <w:r>
        <w:rPr>
          <w:rFonts w:hint="eastAsia" w:cs="Arial"/>
          <w:szCs w:val="24"/>
          <w:lang w:val="en-US" w:eastAsia="zh-CN"/>
        </w:rPr>
        <w:t xml:space="preserve">  </w:t>
      </w:r>
      <w:r>
        <w:rPr>
          <w:rFonts w:hint="eastAsia" w:cs="Arial"/>
          <w:szCs w:val="24"/>
          <w:lang w:eastAsia="zh-CN"/>
        </w:rPr>
        <w:t>负债评估</w:t>
      </w:r>
      <w:bookmarkEnd w:id="69"/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养老金负债评估</w:t>
      </w:r>
    </w:p>
    <w:p>
      <w:r>
        <w:object>
          <v:shape id="_x0000_i1314" o:spt="75" type="#_x0000_t75" style="height:18.9pt;width:155.25pt;" o:ole="t" filled="f" o:preferrelative="t" stroked="f" coordsize="21600,21600">
            <v:path/>
            <v:fill on="f" focussize="0,0"/>
            <v:stroke on="f" joinstyle="miter"/>
            <v:imagedata r:id="rId573" o:title=""/>
            <o:lock v:ext="edit" aspectratio="t"/>
            <w10:wrap type="none"/>
            <w10:anchorlock/>
          </v:shape>
          <o:OLEObject Type="Embed" ProgID="Equation.3" ShapeID="_x0000_i1314" DrawAspect="Content" ObjectID="_1468076014" r:id="rId572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r>
        <w:object>
          <v:shape id="_x0000_i1315" o:spt="75" type="#_x0000_t75" style="height:18.9pt;width:12.25pt;" o:ole="t" filled="f" o:preferrelative="t" stroked="f" coordsize="21600,21600">
            <v:path/>
            <v:fill on="f" focussize="0,0"/>
            <v:stroke on="f" joinstyle="miter"/>
            <v:imagedata r:id="rId575" o:title=""/>
            <o:lock v:ext="edit" aspectratio="t"/>
            <w10:wrap type="none"/>
            <w10:anchorlock/>
          </v:shape>
          <o:OLEObject Type="Embed" ProgID="Equation.3" ShapeID="_x0000_i1315" DrawAspect="Content" ObjectID="_1468076015" r:id="rId574">
            <o:LockedField>false</o:LockedField>
          </o:OLEObject>
        </w:object>
      </w:r>
      <w:r>
        <w:rPr>
          <w:rFonts w:hint="eastAsia"/>
        </w:rPr>
        <w:t xml:space="preserve">    </w:t>
      </w:r>
      <w:r>
        <w:tab/>
      </w:r>
      <w:r>
        <w:rPr>
          <w:rFonts w:hint="eastAsia"/>
        </w:rPr>
        <w:t>t时点的负债价值</w:t>
      </w:r>
    </w:p>
    <w:p>
      <w:r>
        <w:object>
          <v:shape id="_x0000_i1316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3" ShapeID="_x0000_i1316" DrawAspect="Content" ObjectID="_1468076016" r:id="rId576">
            <o:LockedField>false</o:LockedField>
          </o:OLEObject>
        </w:object>
      </w:r>
      <w:r>
        <w:rPr>
          <w:rFonts w:hint="eastAsia"/>
        </w:rPr>
        <w:t xml:space="preserve">   </w:t>
      </w:r>
      <w:r>
        <w:tab/>
      </w:r>
      <w:r>
        <w:rPr>
          <w:rFonts w:hint="eastAsia"/>
        </w:rPr>
        <w:t>t时点的养老金收益应计因子</w:t>
      </w:r>
    </w:p>
    <w:p>
      <w:r>
        <w:object>
          <v:shape id="_x0000_i1317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579" o:title=""/>
            <o:lock v:ext="edit" aspectratio="t"/>
            <w10:wrap type="none"/>
            <w10:anchorlock/>
          </v:shape>
          <o:OLEObject Type="Embed" ProgID="Equation.3" ShapeID="_x0000_i1317" DrawAspect="Content" ObjectID="_1468076017" r:id="rId578">
            <o:LockedField>false</o:LockedField>
          </o:OLEObject>
        </w:object>
      </w:r>
      <w:r>
        <w:rPr>
          <w:rFonts w:hint="eastAsia"/>
        </w:rPr>
        <w:t xml:space="preserve">   </w:t>
      </w:r>
      <w:r>
        <w:tab/>
      </w:r>
      <w:r>
        <w:rPr>
          <w:rFonts w:hint="eastAsia"/>
        </w:rPr>
        <w:t>t时点的未来退休人员的工资</w:t>
      </w:r>
    </w:p>
    <w:p>
      <w:r>
        <w:object>
          <v:shape id="_x0000_i1318" o:spt="75" type="#_x0000_t75" style="height:18.9pt;width:27.05pt;" o:ole="t" filled="f" o:preferrelative="t" stroked="f" coordsize="21600,21600">
            <v:path/>
            <v:fill on="f" focussize="0,0"/>
            <v:stroke on="f" joinstyle="miter"/>
            <v:imagedata r:id="rId581" o:title=""/>
            <o:lock v:ext="edit" aspectratio="t"/>
            <w10:wrap type="none"/>
            <w10:anchorlock/>
          </v:shape>
          <o:OLEObject Type="Embed" ProgID="Equation.3" ShapeID="_x0000_i1318" DrawAspect="Content" ObjectID="_1468076018" r:id="rId580">
            <o:LockedField>false</o:LockedField>
          </o:OLEObject>
        </w:object>
      </w:r>
      <w:r>
        <w:rPr>
          <w:rFonts w:hint="eastAsia"/>
        </w:rPr>
        <w:t xml:space="preserve">  </w:t>
      </w:r>
      <w:r>
        <w:tab/>
      </w:r>
      <w:r>
        <w:rPr>
          <w:rFonts w:hint="eastAsia"/>
        </w:rPr>
        <w:t>t时点的再评估因子</w:t>
      </w:r>
    </w:p>
    <w:p>
      <w:r>
        <w:object>
          <v:shape id="_x0000_i1319" o:spt="75" type="#_x0000_t75" style="height:18.9pt;width:24pt;" o:ole="t" filled="f" o:preferrelative="t" stroked="f" coordsize="21600,21600">
            <v:path/>
            <v:fill on="f" focussize="0,0"/>
            <v:stroke on="f" joinstyle="miter"/>
            <v:imagedata r:id="rId583" o:title=""/>
            <o:lock v:ext="edit" aspectratio="t"/>
            <w10:wrap type="none"/>
            <w10:anchorlock/>
          </v:shape>
          <o:OLEObject Type="Embed" ProgID="Equation.3" ShapeID="_x0000_i1319" DrawAspect="Content" ObjectID="_1468076019" r:id="rId582">
            <o:LockedField>false</o:LockedField>
          </o:OLEObject>
        </w:object>
      </w:r>
      <w:r>
        <w:rPr>
          <w:rFonts w:hint="eastAsia"/>
        </w:rPr>
        <w:t xml:space="preserve">  </w:t>
      </w:r>
      <w:r>
        <w:tab/>
      </w:r>
      <w:r>
        <w:rPr>
          <w:rFonts w:hint="eastAsia"/>
        </w:rPr>
        <w:t>t时点的留存因子</w:t>
      </w:r>
    </w:p>
    <w:p>
      <w:r>
        <w:object>
          <v:shape id="_x0000_i1320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585" o:title=""/>
            <o:lock v:ext="edit" aspectratio="t"/>
            <w10:wrap type="none"/>
            <w10:anchorlock/>
          </v:shape>
          <o:OLEObject Type="Embed" ProgID="Equation.3" ShapeID="_x0000_i1320" DrawAspect="Content" ObjectID="_1468076020" r:id="rId584">
            <o:LockedField>false</o:LockedField>
          </o:OLEObject>
        </w:object>
      </w:r>
      <w:r>
        <w:rPr>
          <w:rFonts w:hint="eastAsia"/>
        </w:rPr>
        <w:t xml:space="preserve">    </w:t>
      </w:r>
      <w:r>
        <w:tab/>
      </w:r>
      <w:r>
        <w:rPr>
          <w:rFonts w:hint="eastAsia"/>
        </w:rPr>
        <w:t>未来退休人员在年龄x时的年金因子</w:t>
      </w:r>
    </w:p>
    <w:p>
      <w:r>
        <w:object>
          <v:shape id="_x0000_i1321" o:spt="75" type="#_x0000_t75" style="height:18.9pt;width:20.45pt;" o:ole="t" filled="f" o:preferrelative="t" stroked="f" coordsize="21600,21600">
            <v:path/>
            <v:fill on="f" focussize="0,0"/>
            <v:stroke on="f" joinstyle="miter"/>
            <v:imagedata r:id="rId587" o:title=""/>
            <o:lock v:ext="edit" aspectratio="t"/>
            <w10:wrap type="none"/>
            <w10:anchorlock/>
          </v:shape>
          <o:OLEObject Type="Embed" ProgID="Equation.3" ShapeID="_x0000_i1321" DrawAspect="Content" ObjectID="_1468076021" r:id="rId586">
            <o:LockedField>false</o:LockedField>
          </o:OLEObject>
        </w:object>
      </w:r>
      <w:r>
        <w:rPr>
          <w:rFonts w:hint="eastAsia"/>
        </w:rPr>
        <w:t xml:space="preserve">    </w:t>
      </w:r>
      <w:r>
        <w:tab/>
      </w:r>
      <w:r>
        <w:rPr>
          <w:rFonts w:hint="eastAsia"/>
        </w:rPr>
        <w:t>t时点到退休年龄T的折现因子</w:t>
      </w:r>
    </w:p>
    <w:p>
      <w:r>
        <w:object>
          <v:shape id="_x0000_i1322" o:spt="75" type="#_x0000_t75" style="height:12.25pt;width:11.25pt;" o:ole="t" filled="f" o:preferrelative="t" stroked="f" coordsize="21600,21600">
            <v:path/>
            <v:fill on="f" focussize="0,0"/>
            <v:stroke on="f" joinstyle="miter"/>
            <v:imagedata r:id="rId589" o:title=""/>
            <o:lock v:ext="edit" aspectratio="t"/>
            <w10:wrap type="none"/>
            <w10:anchorlock/>
          </v:shape>
          <o:OLEObject Type="Embed" ProgID="Equation.3" ShapeID="_x0000_i1322" DrawAspect="Content" ObjectID="_1468076022" r:id="rId588">
            <o:LockedField>false</o:LockedField>
          </o:OLEObject>
        </w:object>
      </w:r>
      <w:r>
        <w:rPr>
          <w:rFonts w:hint="eastAsia"/>
        </w:rPr>
        <w:t xml:space="preserve">   </w:t>
      </w:r>
      <w:r>
        <w:tab/>
      </w:r>
      <w:r>
        <w:rPr>
          <w:rFonts w:hint="eastAsia"/>
        </w:rPr>
        <w:t>退休时间</w:t>
      </w:r>
    </w:p>
    <w:p/>
    <w:p>
      <w:pPr>
        <w:rPr>
          <w:b/>
          <w:bCs/>
          <w:iCs/>
        </w:rPr>
      </w:pPr>
      <w:r>
        <w:rPr>
          <w:rFonts w:hint="eastAsia"/>
          <w:b/>
          <w:bCs/>
          <w:iCs/>
        </w:rPr>
        <w:t>年金因子</w:t>
      </w:r>
    </w:p>
    <w:p>
      <w:r>
        <w:object>
          <v:shape id="_x0000_i1323" o:spt="75" type="#_x0000_t75" style="height:36.75pt;width:77.1pt;" o:ole="t" filled="f" o:preferrelative="t" stroked="f" coordsize="21600,21600">
            <v:path/>
            <v:fill on="f" focussize="0,0"/>
            <v:stroke on="f" joinstyle="miter"/>
            <v:imagedata r:id="rId591" o:title=""/>
            <o:lock v:ext="edit" aspectratio="t"/>
            <w10:wrap type="none"/>
            <w10:anchorlock/>
          </v:shape>
          <o:OLEObject Type="Embed" ProgID="Equation.3" ShapeID="_x0000_i1323" DrawAspect="Content" ObjectID="_1468076023" r:id="rId590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r>
        <w:object>
          <v:shape id="_x0000_i1324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593" o:title=""/>
            <o:lock v:ext="edit" aspectratio="t"/>
            <w10:wrap type="none"/>
            <w10:anchorlock/>
          </v:shape>
          <o:OLEObject Type="Embed" ProgID="Equation.3" ShapeID="_x0000_i1324" DrawAspect="Content" ObjectID="_1468076024" r:id="rId592">
            <o:LockedField>false</o:LockedField>
          </o:OLEObject>
        </w:object>
      </w:r>
      <w:r>
        <w:rPr>
          <w:rFonts w:hint="eastAsia"/>
        </w:rPr>
        <w:t xml:space="preserve">   </w:t>
      </w:r>
      <w:r>
        <w:tab/>
      </w:r>
      <w:r>
        <w:rPr>
          <w:rFonts w:hint="eastAsia"/>
        </w:rPr>
        <w:t>未来退休人员在年龄x退休时的年金因子</w:t>
      </w:r>
    </w:p>
    <w:p>
      <w:r>
        <w:object>
          <v:shape id="_x0000_i1325" o:spt="75" type="#_x0000_t75" style="height:11.25pt;width:12.25pt;" o:ole="t" filled="f" o:preferrelative="t" stroked="f" coordsize="21600,21600">
            <v:path/>
            <v:fill on="f" focussize="0,0"/>
            <v:stroke on="f" joinstyle="miter"/>
            <v:imagedata r:id="rId595" o:title=""/>
            <o:lock v:ext="edit" aspectratio="t"/>
            <w10:wrap type="none"/>
            <w10:anchorlock/>
          </v:shape>
          <o:OLEObject Type="Embed" ProgID="Equation.3" ShapeID="_x0000_i1325" DrawAspect="Content" ObjectID="_1468076025" r:id="rId594">
            <o:LockedField>false</o:LockedField>
          </o:OLEObject>
        </w:object>
      </w:r>
      <w:r>
        <w:rPr>
          <w:rFonts w:hint="eastAsia"/>
        </w:rPr>
        <w:t xml:space="preserve">    </w:t>
      </w:r>
      <w:r>
        <w:tab/>
      </w:r>
      <w:r>
        <w:rPr>
          <w:rFonts w:hint="eastAsia"/>
        </w:rPr>
        <w:t>生命表中的终极年龄</w:t>
      </w:r>
    </w:p>
    <w:p>
      <w:r>
        <w:object>
          <v:shape id="_x0000_i1326" o:spt="75" type="#_x0000_t75" style="height:18.9pt;width:20.45pt;" o:ole="t" filled="f" o:preferrelative="t" stroked="f" coordsize="21600,21600">
            <v:path/>
            <v:fill on="f" focussize="0,0"/>
            <v:stroke on="f" joinstyle="miter"/>
            <v:imagedata r:id="rId597" o:title=""/>
            <o:lock v:ext="edit" aspectratio="t"/>
            <w10:wrap type="none"/>
            <w10:anchorlock/>
          </v:shape>
          <o:OLEObject Type="Embed" ProgID="Equation.3" ShapeID="_x0000_i1326" DrawAspect="Content" ObjectID="_1468076026" r:id="rId596">
            <o:LockedField>false</o:LockedField>
          </o:OLEObject>
        </w:object>
      </w:r>
      <w:r>
        <w:rPr>
          <w:rFonts w:hint="eastAsia"/>
        </w:rPr>
        <w:t xml:space="preserve">  </w:t>
      </w:r>
      <w:r>
        <w:tab/>
      </w:r>
      <w:r>
        <w:rPr>
          <w:rFonts w:hint="eastAsia"/>
        </w:rPr>
        <w:t>年龄为x岁的人活到x + t岁的概率</w:t>
      </w:r>
    </w:p>
    <w:p>
      <w:r>
        <w:object>
          <v:shape id="_x0000_i1327" o:spt="75" type="#_x0000_t75" style="height:9.2pt;width:9.2pt;" o:ole="t" filled="f" o:preferrelative="t" stroked="f" coordsize="21600,21600">
            <v:path/>
            <v:fill on="f" focussize="0,0"/>
            <v:stroke on="f" joinstyle="miter"/>
            <v:imagedata r:id="rId599" o:title=""/>
            <o:lock v:ext="edit" aspectratio="t"/>
            <w10:wrap type="none"/>
            <w10:anchorlock/>
          </v:shape>
          <o:OLEObject Type="Embed" ProgID="Equation.3" ShapeID="_x0000_i1327" DrawAspect="Content" ObjectID="_1468076027" r:id="rId598">
            <o:LockedField>false</o:LockedField>
          </o:OLEObject>
        </w:object>
      </w:r>
      <w:r>
        <w:rPr>
          <w:rFonts w:hint="eastAsia"/>
        </w:rPr>
        <w:t xml:space="preserve">  </w:t>
      </w:r>
      <w:r>
        <w:tab/>
      </w:r>
      <w:r>
        <w:tab/>
      </w:r>
      <w:r>
        <w:rPr>
          <w:rFonts w:hint="eastAsia"/>
        </w:rPr>
        <w:t>（确定的）利率</w:t>
      </w:r>
    </w:p>
    <w:p/>
    <w:p>
      <w:pPr>
        <w:rPr>
          <w:rFonts w:ascii="宋体" w:hAnsi="宋体"/>
          <w:b/>
          <w:bCs/>
        </w:rPr>
      </w:pPr>
      <w:r>
        <w:rPr>
          <w:rFonts w:hint="eastAsia"/>
          <w:b/>
          <w:bCs/>
        </w:rPr>
        <w:t>养老金总负债的现值</w:t>
      </w:r>
    </w:p>
    <w:p>
      <w:pPr>
        <w:jc w:val="center"/>
      </w:pPr>
      <w:r>
        <w:drawing>
          <wp:inline distT="0" distB="0" distL="0" distR="0">
            <wp:extent cx="1168400" cy="330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00"/>
                    <a:stretch>
                      <a:fillRect/>
                    </a:stretch>
                  </pic:blipFill>
                  <pic:spPr>
                    <a:xfrm>
                      <a:off x="0" y="0"/>
                      <a:ext cx="1168470" cy="33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此处:</w:t>
      </w:r>
    </w:p>
    <w:p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TL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  t </w:t>
      </w:r>
      <w:r>
        <w:rPr>
          <w:rFonts w:hint="eastAsia"/>
        </w:rPr>
        <w:t>时刻总负债的折现值</w:t>
      </w:r>
    </w:p>
    <w:p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L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i,t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  t </w:t>
      </w:r>
      <w:r>
        <w:rPr>
          <w:rFonts w:hint="eastAsia"/>
        </w:rPr>
        <w:t>时刻个人养老金负债</w:t>
      </w:r>
    </w:p>
    <w:p>
      <w:r>
        <w:t xml:space="preserve">n              </w:t>
      </w:r>
      <w:r>
        <w:rPr>
          <w:rFonts w:hint="eastAsia"/>
        </w:rPr>
        <w:t>养老金中参与者人数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人寿年金的精算现值</w:t>
      </w:r>
    </w:p>
    <w:p>
      <w:pPr>
        <w:jc w:val="center"/>
      </w:pPr>
      <w:bookmarkStart w:id="70" w:name="_Hlk119421921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PVA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sub>
        </m:sSub>
      </m:oMath>
      <w:bookmarkEnd w:id="70"/>
      <w:r>
        <w:t xml:space="preserve"> = R·</w:t>
      </w:r>
      <w:bookmarkStart w:id="71" w:name="_Hlk119422032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x,w</m:t>
            </m:r>
            <m:ctrlPr>
              <w:rPr>
                <w:rFonts w:ascii="Cambria Math" w:hAnsi="Cambria Math"/>
                <w:i/>
              </w:rPr>
            </m:ctrlPr>
          </m:sub>
        </m:sSub>
      </m:oMath>
      <w:bookmarkEnd w:id="71"/>
    </w:p>
    <w:p>
      <w:r>
        <w:rPr>
          <w:rFonts w:hint="eastAsia"/>
        </w:rPr>
        <w:t>此处：</w:t>
      </w:r>
    </w:p>
    <w:p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PVA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t </w:t>
      </w:r>
      <w:r>
        <w:rPr>
          <w:rFonts w:hint="eastAsia"/>
        </w:rPr>
        <w:t>时刻人寿年金的现值</w:t>
      </w:r>
    </w:p>
    <w:p>
      <w:r>
        <w:t xml:space="preserve">R           </w:t>
      </w:r>
      <w:r>
        <w:rPr>
          <w:rFonts w:hint="eastAsia"/>
        </w:rPr>
        <w:t>支付的金额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x,w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</w:t>
      </w:r>
      <w:r>
        <w:rPr>
          <w:rFonts w:hint="eastAsia"/>
        </w:rPr>
        <w:t>未来</w:t>
      </w:r>
      <w:r>
        <w:t xml:space="preserve">x </w:t>
      </w:r>
      <w:r>
        <w:rPr>
          <w:rFonts w:hint="eastAsia"/>
        </w:rPr>
        <w:t>年龄时退休者的年金因子</w:t>
      </w:r>
    </w:p>
    <w:p>
      <w:pPr>
        <w:rPr>
          <w:rFonts w:hint="eastAsia"/>
          <w:b/>
          <w:bCs/>
          <w:sz w:val="24"/>
        </w:rPr>
      </w:pPr>
    </w:p>
    <w:p>
      <w:pPr>
        <w:pStyle w:val="4"/>
        <w:rPr>
          <w:rFonts w:hint="eastAsia" w:cs="Arial"/>
          <w:szCs w:val="24"/>
          <w:lang w:eastAsia="zh-CN"/>
        </w:rPr>
      </w:pPr>
      <w:bookmarkStart w:id="72" w:name="_Toc11059"/>
      <w:r>
        <w:rPr>
          <w:rFonts w:hint="eastAsia" w:cs="Arial"/>
          <w:szCs w:val="24"/>
          <w:lang w:eastAsia="zh-CN"/>
        </w:rPr>
        <w:t>3.2     盈余和注资比率</w:t>
      </w:r>
      <w:bookmarkEnd w:id="72"/>
    </w:p>
    <w:p>
      <w:pPr>
        <w:rPr>
          <w:b/>
          <w:bCs/>
          <w:iCs/>
        </w:rPr>
      </w:pPr>
      <w:r>
        <w:rPr>
          <w:rFonts w:hint="eastAsia"/>
          <w:b/>
          <w:bCs/>
          <w:iCs/>
        </w:rPr>
        <w:t>盈余</w:t>
      </w:r>
    </w:p>
    <w:p>
      <w:r>
        <w:object>
          <v:shape id="_x0000_i1328" o:spt="75" type="#_x0000_t75" style="height:18.9pt;width:65.85pt;" o:ole="t" filled="f" o:preferrelative="t" stroked="f" coordsize="21600,21600">
            <v:path/>
            <v:fill on="f" focussize="0,0"/>
            <v:stroke on="f" joinstyle="miter"/>
            <v:imagedata r:id="rId602" o:title=""/>
            <o:lock v:ext="edit" aspectratio="t"/>
            <w10:wrap type="none"/>
            <w10:anchorlock/>
          </v:shape>
          <o:OLEObject Type="Embed" ProgID="Equation.3" ShapeID="_x0000_i1328" DrawAspect="Content" ObjectID="_1468076028" r:id="rId601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r>
        <w:object>
          <v:shape id="_x0000_i1329" o:spt="75" type="#_x0000_t75" style="height:20.45pt;width:21.95pt;" o:ole="t" filled="f" o:preferrelative="t" stroked="f" coordsize="21600,21600">
            <v:path/>
            <v:fill on="f" focussize="0,0"/>
            <v:stroke on="f" joinstyle="miter"/>
            <v:imagedata r:id="rId604" o:title=""/>
            <o:lock v:ext="edit" aspectratio="t"/>
            <w10:wrap type="none"/>
            <w10:anchorlock/>
          </v:shape>
          <o:OLEObject Type="Embed" ProgID="Equation.3" ShapeID="_x0000_i1329" DrawAspect="Content" ObjectID="_1468076029" r:id="rId603">
            <o:LockedField>false</o:LockedField>
          </o:OLEObject>
        </w:object>
      </w:r>
      <w:r>
        <w:rPr>
          <w:rFonts w:hint="eastAsia"/>
        </w:rPr>
        <w:t xml:space="preserve">  </w:t>
      </w:r>
      <w:r>
        <w:tab/>
      </w:r>
      <w:r>
        <w:rPr>
          <w:rFonts w:hint="eastAsia"/>
        </w:rPr>
        <w:t>t时点的盈余</w:t>
      </w:r>
    </w:p>
    <w:p>
      <w:r>
        <w:object>
          <v:shape id="_x0000_i1330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606" o:title=""/>
            <o:lock v:ext="edit" aspectratio="t"/>
            <w10:wrap type="none"/>
            <w10:anchorlock/>
          </v:shape>
          <o:OLEObject Type="Embed" ProgID="Equation.3" ShapeID="_x0000_i1330" DrawAspect="Content" ObjectID="_1468076030" r:id="rId605">
            <o:LockedField>false</o:LockedField>
          </o:OLEObject>
        </w:object>
      </w:r>
      <w:r>
        <w:rPr>
          <w:rFonts w:hint="eastAsia"/>
        </w:rPr>
        <w:t xml:space="preserve">   </w:t>
      </w:r>
      <w:r>
        <w:tab/>
      </w:r>
      <w:r>
        <w:rPr>
          <w:rFonts w:hint="eastAsia"/>
        </w:rPr>
        <w:t>t时点的资产价值</w:t>
      </w:r>
    </w:p>
    <w:p>
      <w:r>
        <w:object>
          <v:shape id="_x0000_i1331" o:spt="75" type="#_x0000_t75" style="height:18.9pt;width:12.25pt;" o:ole="t" filled="f" o:preferrelative="t" stroked="f" coordsize="21600,21600">
            <v:path/>
            <v:fill on="f" focussize="0,0"/>
            <v:stroke on="f" joinstyle="miter"/>
            <v:imagedata r:id="rId608" o:title=""/>
            <o:lock v:ext="edit" aspectratio="t"/>
            <w10:wrap type="none"/>
            <w10:anchorlock/>
          </v:shape>
          <o:OLEObject Type="Embed" ProgID="Equation.3" ShapeID="_x0000_i1331" DrawAspect="Content" ObjectID="_1468076031" r:id="rId607">
            <o:LockedField>false</o:LockedField>
          </o:OLEObject>
        </w:object>
      </w:r>
      <w:r>
        <w:rPr>
          <w:rFonts w:hint="eastAsia"/>
        </w:rPr>
        <w:t xml:space="preserve">    </w:t>
      </w:r>
      <w:r>
        <w:tab/>
      </w:r>
      <w:r>
        <w:rPr>
          <w:rFonts w:hint="eastAsia"/>
        </w:rPr>
        <w:t>t时点的负债价值</w:t>
      </w:r>
    </w:p>
    <w:p/>
    <w:p>
      <w:pPr>
        <w:rPr>
          <w:b/>
          <w:bCs/>
          <w:iCs/>
        </w:rPr>
      </w:pPr>
      <w:r>
        <w:rPr>
          <w:rFonts w:hint="eastAsia"/>
          <w:b/>
          <w:bCs/>
          <w:iCs/>
        </w:rPr>
        <w:t>注资比率</w:t>
      </w:r>
    </w:p>
    <w:p>
      <w:r>
        <w:object>
          <v:shape id="_x0000_i1332" o:spt="75" type="#_x0000_t75" style="height:36.25pt;width:48.5pt;" o:ole="t" filled="f" o:preferrelative="t" stroked="f" coordsize="21600,21600">
            <v:path/>
            <v:fill on="f" focussize="0,0"/>
            <v:stroke on="f" joinstyle="miter"/>
            <v:imagedata r:id="rId610" o:title=""/>
            <o:lock v:ext="edit" aspectratio="t"/>
            <w10:wrap type="none"/>
            <w10:anchorlock/>
          </v:shape>
          <o:OLEObject Type="Embed" ProgID="Equation.3" ShapeID="_x0000_i1332" DrawAspect="Content" ObjectID="_1468076032" r:id="rId609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eastAsia" w:ascii="Cambria Math" w:hAnsi="Cambria Math"/>
              </w:rPr>
              <m:t>FR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 xml:space="preserve"> </w:t>
      </w:r>
      <w:r>
        <w:t xml:space="preserve">       t</w:t>
      </w:r>
      <w:r>
        <w:rPr>
          <w:rFonts w:hint="eastAsia"/>
        </w:rPr>
        <w:t>时点的主子比率</w:t>
      </w:r>
    </w:p>
    <w:p>
      <w:r>
        <w:object>
          <v:shape id="_x0000_i1333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612" o:title=""/>
            <o:lock v:ext="edit" aspectratio="t"/>
            <w10:wrap type="none"/>
            <w10:anchorlock/>
          </v:shape>
          <o:OLEObject Type="Embed" ProgID="Equation.3" ShapeID="_x0000_i1333" DrawAspect="Content" ObjectID="_1468076033" r:id="rId611">
            <o:LockedField>false</o:LockedField>
          </o:OLEObject>
        </w:object>
      </w:r>
      <w:r>
        <w:rPr>
          <w:rFonts w:hint="eastAsia"/>
        </w:rPr>
        <w:t xml:space="preserve"> </w:t>
      </w:r>
      <w:r>
        <w:tab/>
      </w:r>
      <w:r>
        <w:tab/>
      </w:r>
      <w:r>
        <w:rPr>
          <w:rFonts w:hint="eastAsia"/>
        </w:rPr>
        <w:t>t时点的资产价值</w:t>
      </w:r>
    </w:p>
    <w:p>
      <w:r>
        <w:object>
          <v:shape id="_x0000_i1334" o:spt="75" type="#_x0000_t75" style="height:18.9pt;width:12.25pt;" o:ole="t" filled="f" o:preferrelative="t" stroked="f" coordsize="21600,21600">
            <v:path/>
            <v:fill on="f" focussize="0,0"/>
            <v:stroke on="f" joinstyle="miter"/>
            <v:imagedata r:id="rId614" o:title=""/>
            <o:lock v:ext="edit" aspectratio="t"/>
            <w10:wrap type="none"/>
            <w10:anchorlock/>
          </v:shape>
          <o:OLEObject Type="Embed" ProgID="Equation.3" ShapeID="_x0000_i1334" DrawAspect="Content" ObjectID="_1468076034" r:id="rId613">
            <o:LockedField>false</o:LockedField>
          </o:OLEObject>
        </w:object>
      </w:r>
      <w:r>
        <w:tab/>
      </w:r>
      <w:r>
        <w:tab/>
      </w:r>
      <w:r>
        <w:rPr>
          <w:rFonts w:hint="eastAsia"/>
        </w:rPr>
        <w:t>t时点的负债价值</w:t>
      </w:r>
    </w:p>
    <w:p>
      <w:pPr>
        <w:rPr>
          <w:b/>
          <w:bCs/>
        </w:rPr>
      </w:pPr>
    </w:p>
    <w:p>
      <w:pPr>
        <w:rPr>
          <w:b/>
          <w:bCs/>
          <w:iCs/>
        </w:rPr>
      </w:pPr>
      <w:r>
        <w:rPr>
          <w:rFonts w:hint="eastAsia"/>
          <w:b/>
          <w:bCs/>
          <w:iCs/>
        </w:rPr>
        <w:t>盈余回报</w:t>
      </w:r>
    </w:p>
    <w:p>
      <w:r>
        <w:object>
          <v:shape id="_x0000_i1335" o:spt="75" type="#_x0000_t75" style="height:36.25pt;width:158.8pt;" o:ole="t" filled="f" o:preferrelative="t" stroked="f" coordsize="21600,21600">
            <v:path/>
            <v:fill on="f" focussize="0,0"/>
            <v:stroke on="f" joinstyle="miter"/>
            <v:imagedata r:id="rId616" o:title=""/>
            <o:lock v:ext="edit" aspectratio="t"/>
            <w10:wrap type="none"/>
            <w10:anchorlock/>
          </v:shape>
          <o:OLEObject Type="Embed" ProgID="Equation.3" ShapeID="_x0000_i1335" DrawAspect="Content" ObjectID="_1468076035" r:id="rId615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r>
        <w:object>
          <v:shape id="_x0000_i1336" o:spt="75" type="#_x0000_t75" style="height:18.9pt;width:20.45pt;" o:ole="t" filled="f" o:preferrelative="t" stroked="f" coordsize="21600,21600">
            <v:path/>
            <v:fill on="f" focussize="0,0"/>
            <v:stroke on="f" joinstyle="miter"/>
            <v:imagedata r:id="rId618" o:title=""/>
            <o:lock v:ext="edit" aspectratio="t"/>
            <w10:wrap type="none"/>
            <w10:anchorlock/>
          </v:shape>
          <o:OLEObject Type="Embed" ProgID="Equation.3" ShapeID="_x0000_i1336" DrawAspect="Content" ObjectID="_1468076036" r:id="rId617">
            <o:LockedField>false</o:LockedField>
          </o:OLEObject>
        </w:object>
      </w:r>
      <w:r>
        <w:rPr>
          <w:rFonts w:hint="eastAsia"/>
        </w:rPr>
        <w:t xml:space="preserve">  </w:t>
      </w:r>
      <w:r>
        <w:tab/>
      </w:r>
      <w:r>
        <w:rPr>
          <w:rFonts w:hint="eastAsia"/>
        </w:rPr>
        <w:t>盈余回报</w:t>
      </w:r>
    </w:p>
    <w:p>
      <w:r>
        <w:object>
          <v:shape id="_x0000_i1337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620" o:title=""/>
            <o:lock v:ext="edit" aspectratio="t"/>
            <w10:wrap type="none"/>
            <w10:anchorlock/>
          </v:shape>
          <o:OLEObject Type="Embed" ProgID="Equation.3" ShapeID="_x0000_i1337" DrawAspect="Content" ObjectID="_1468076037" r:id="rId619">
            <o:LockedField>false</o:LockedField>
          </o:OLEObject>
        </w:object>
      </w:r>
      <w:r>
        <w:rPr>
          <w:rFonts w:hint="eastAsia"/>
        </w:rPr>
        <w:t xml:space="preserve">   </w:t>
      </w:r>
      <w:r>
        <w:tab/>
      </w:r>
      <w:r>
        <w:rPr>
          <w:rFonts w:hint="eastAsia"/>
        </w:rPr>
        <w:t>0时点的负债价值</w:t>
      </w:r>
    </w:p>
    <w:p>
      <w:r>
        <w:object>
          <v:shape id="_x0000_i1338" o:spt="75" type="#_x0000_t75" style="height:18.9pt;width:24pt;" o:ole="t" filled="f" o:preferrelative="t" stroked="f" coordsize="21600,21600">
            <v:path/>
            <v:fill on="f" focussize="0,0"/>
            <v:stroke on="f" joinstyle="miter"/>
            <v:imagedata r:id="rId622" o:title=""/>
            <o:lock v:ext="edit" aspectratio="t"/>
            <w10:wrap type="none"/>
            <w10:anchorlock/>
          </v:shape>
          <o:OLEObject Type="Embed" ProgID="Equation.3" ShapeID="_x0000_i1338" DrawAspect="Content" ObjectID="_1468076038" r:id="rId621">
            <o:LockedField>false</o:LockedField>
          </o:OLEObject>
        </w:object>
      </w:r>
      <w:r>
        <w:rPr>
          <w:rFonts w:hint="eastAsia"/>
        </w:rPr>
        <w:t xml:space="preserve">  </w:t>
      </w:r>
      <w:r>
        <w:tab/>
      </w:r>
      <w:r>
        <w:rPr>
          <w:rFonts w:hint="eastAsia"/>
        </w:rPr>
        <w:t>0时点的注资比率</w:t>
      </w:r>
    </w:p>
    <w:p>
      <w:r>
        <w:object>
          <v:shape id="_x0000_i1339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624" o:title=""/>
            <o:lock v:ext="edit" aspectratio="t"/>
            <w10:wrap type="none"/>
            <w10:anchorlock/>
          </v:shape>
          <o:OLEObject Type="Embed" ProgID="Equation.3" ShapeID="_x0000_i1339" DrawAspect="Content" ObjectID="_1468076039" r:id="rId623">
            <o:LockedField>false</o:LockedField>
          </o:OLEObject>
        </w:object>
      </w:r>
      <w:r>
        <w:rPr>
          <w:rFonts w:hint="eastAsia"/>
        </w:rPr>
        <w:t xml:space="preserve">    </w:t>
      </w:r>
      <w:r>
        <w:tab/>
      </w:r>
      <w:r>
        <w:rPr>
          <w:rFonts w:hint="eastAsia"/>
        </w:rPr>
        <w:t>资产回报</w:t>
      </w:r>
    </w:p>
    <w:p>
      <w:r>
        <w:object>
          <v:shape id="_x0000_i1340" o:spt="75" type="#_x0000_t75" style="height:18.9pt;width:16.35pt;" o:ole="t" filled="f" o:preferrelative="t" stroked="f" coordsize="21600,21600">
            <v:path/>
            <v:fill on="f" focussize="0,0"/>
            <v:stroke on="f" joinstyle="miter"/>
            <v:imagedata r:id="rId626" o:title=""/>
            <o:lock v:ext="edit" aspectratio="t"/>
            <w10:wrap type="none"/>
            <w10:anchorlock/>
          </v:shape>
          <o:OLEObject Type="Embed" ProgID="Equation.3" ShapeID="_x0000_i1340" DrawAspect="Content" ObjectID="_1468076040" r:id="rId625">
            <o:LockedField>false</o:LockedField>
          </o:OLEObject>
        </w:object>
      </w:r>
      <w:r>
        <w:rPr>
          <w:rFonts w:hint="eastAsia"/>
        </w:rPr>
        <w:t xml:space="preserve">    </w:t>
      </w:r>
      <w:r>
        <w:tab/>
      </w:r>
      <w:r>
        <w:rPr>
          <w:rFonts w:hint="eastAsia"/>
        </w:rPr>
        <w:t>负债回报</w:t>
      </w:r>
    </w:p>
    <w:p>
      <w:pPr>
        <w:rPr>
          <w:b/>
        </w:rPr>
      </w:pPr>
    </w:p>
    <w:p>
      <w:pPr>
        <w:rPr>
          <w:b/>
          <w:bCs/>
          <w:iCs/>
        </w:rPr>
      </w:pPr>
      <w:r>
        <w:rPr>
          <w:rFonts w:hint="eastAsia"/>
          <w:b/>
          <w:bCs/>
          <w:iCs/>
        </w:rPr>
        <w:t>盈余风险</w:t>
      </w:r>
    </w:p>
    <w:p>
      <w:r>
        <w:object>
          <v:shape id="_x0000_i1341" o:spt="75" type="#_x0000_t75" style="height:24.5pt;width:229.3pt;" o:ole="t" filled="f" o:preferrelative="t" stroked="f" coordsize="21600,21600">
            <v:path/>
            <v:fill on="f" focussize="0,0"/>
            <v:stroke on="f" joinstyle="miter"/>
            <v:imagedata r:id="rId628" o:title=""/>
            <o:lock v:ext="edit" aspectratio="t"/>
            <w10:wrap type="none"/>
            <w10:anchorlock/>
          </v:shape>
          <o:OLEObject Type="Embed" ProgID="Equation.3" ShapeID="_x0000_i1341" DrawAspect="Content" ObjectID="_1468076041" r:id="rId627">
            <o:LockedField>false</o:LockedField>
          </o:OLEObject>
        </w:object>
      </w:r>
    </w:p>
    <w:p>
      <w:pPr>
        <w:rPr>
          <w:b/>
        </w:rPr>
      </w:pPr>
      <w:r>
        <w:rPr>
          <w:rFonts w:hint="eastAsia"/>
        </w:rPr>
        <w:t>此处</w:t>
      </w:r>
    </w:p>
    <w:p>
      <w:r>
        <w:object>
          <v:shape id="_x0000_i1342" o:spt="75" type="#_x0000_t75" style="height:18.9pt;width:20.45pt;" o:ole="t" filled="f" o:preferrelative="t" stroked="f" coordsize="21600,21600">
            <v:path/>
            <v:fill on="f" focussize="0,0"/>
            <v:stroke on="f" joinstyle="miter"/>
            <v:imagedata r:id="rId630" o:title=""/>
            <o:lock v:ext="edit" aspectratio="t"/>
            <w10:wrap type="none"/>
            <w10:anchorlock/>
          </v:shape>
          <o:OLEObject Type="Embed" ProgID="Equation.3" ShapeID="_x0000_i1342" DrawAspect="Content" ObjectID="_1468076042" r:id="rId629">
            <o:LockedField>false</o:LockedField>
          </o:OLEObject>
        </w:object>
      </w:r>
      <w:r>
        <w:tab/>
      </w:r>
      <w:r>
        <w:tab/>
      </w:r>
      <w:r>
        <w:rPr>
          <w:rFonts w:hint="eastAsia"/>
        </w:rPr>
        <w:t>盈余风险</w:t>
      </w:r>
    </w:p>
    <w:p>
      <w:r>
        <w:object>
          <v:shape id="_x0000_i1343" o:spt="75" type="#_x0000_t75" style="height:18.9pt;width:22.45pt;" o:ole="t" filled="f" o:preferrelative="t" stroked="f" coordsize="21600,21600">
            <v:path/>
            <v:fill on="f" focussize="0,0"/>
            <v:stroke on="f" joinstyle="miter"/>
            <v:imagedata r:id="rId632" o:title=""/>
            <o:lock v:ext="edit" aspectratio="t"/>
            <w10:wrap type="none"/>
            <w10:anchorlock/>
          </v:shape>
          <o:OLEObject Type="Embed" ProgID="Equation.3" ShapeID="_x0000_i1343" DrawAspect="Content" ObjectID="_1468076043" r:id="rId631">
            <o:LockedField>false</o:LockedField>
          </o:OLEObject>
        </w:object>
      </w:r>
      <w:r>
        <w:rPr>
          <w:rFonts w:hint="eastAsia"/>
        </w:rPr>
        <w:t xml:space="preserve">  </w:t>
      </w:r>
      <w:r>
        <w:tab/>
      </w:r>
      <w:r>
        <w:rPr>
          <w:rFonts w:hint="eastAsia"/>
        </w:rPr>
        <w:t>0时点的注资比率</w:t>
      </w:r>
    </w:p>
    <w:p>
      <w:r>
        <w:object>
          <v:shape id="_x0000_i1344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634" o:title=""/>
            <o:lock v:ext="edit" aspectratio="t"/>
            <w10:wrap type="none"/>
            <w10:anchorlock/>
          </v:shape>
          <o:OLEObject Type="Embed" ProgID="Equation.3" ShapeID="_x0000_i1344" DrawAspect="Content" ObjectID="_1468076044" r:id="rId633">
            <o:LockedField>false</o:LockedField>
          </o:OLEObject>
        </w:object>
      </w:r>
      <w:r>
        <w:tab/>
      </w:r>
      <w:r>
        <w:tab/>
      </w:r>
      <w:r>
        <w:rPr>
          <w:rFonts w:hint="eastAsia"/>
        </w:rPr>
        <w:t>资产的风险（波动）</w:t>
      </w:r>
    </w:p>
    <w:p>
      <w:r>
        <w:object>
          <v:shape id="_x0000_i1345" o:spt="75" type="#_x0000_t75" style="height:18.9pt;width:16.35pt;" o:ole="t" filled="f" o:preferrelative="t" stroked="f" coordsize="21600,21600">
            <v:path/>
            <v:fill on="f" focussize="0,0"/>
            <v:stroke on="f" joinstyle="miter"/>
            <v:imagedata r:id="rId636" o:title=""/>
            <o:lock v:ext="edit" aspectratio="t"/>
            <w10:wrap type="none"/>
            <w10:anchorlock/>
          </v:shape>
          <o:OLEObject Type="Embed" ProgID="Equation.3" ShapeID="_x0000_i1345" DrawAspect="Content" ObjectID="_1468076045" r:id="rId635">
            <o:LockedField>false</o:LockedField>
          </o:OLEObject>
        </w:object>
      </w:r>
      <w:r>
        <w:tab/>
      </w:r>
      <w:r>
        <w:tab/>
      </w:r>
      <w:r>
        <w:rPr>
          <w:rFonts w:hint="eastAsia"/>
        </w:rPr>
        <w:t>负债的风险（波动）</w:t>
      </w:r>
    </w:p>
    <w:p>
      <w:r>
        <w:object>
          <v:shape id="_x0000_i1346" o:spt="75" type="#_x0000_t75" style="height:18.9pt;width:21.95pt;" o:ole="t" filled="f" o:preferrelative="t" stroked="f" coordsize="21600,21600">
            <v:path/>
            <v:fill on="f" focussize="0,0"/>
            <v:stroke on="f" joinstyle="miter"/>
            <v:imagedata r:id="rId638" o:title=""/>
            <o:lock v:ext="edit" aspectratio="t"/>
            <w10:wrap type="none"/>
            <w10:anchorlock/>
          </v:shape>
          <o:OLEObject Type="Embed" ProgID="Equation.3" ShapeID="_x0000_i1346" DrawAspect="Content" ObjectID="_1468076046" r:id="rId637">
            <o:LockedField>false</o:LockedField>
          </o:OLEObject>
        </w:object>
      </w:r>
      <w:r>
        <w:tab/>
      </w:r>
      <w:r>
        <w:rPr>
          <w:rFonts w:hint="eastAsia"/>
        </w:rPr>
        <w:t>资产和负债的相关系数</w:t>
      </w:r>
      <w:r>
        <w:t xml:space="preserve"> </w:t>
      </w:r>
    </w:p>
    <w:p>
      <w:pPr>
        <w:rPr>
          <w:rFonts w:hint="eastAsia"/>
          <w:b/>
          <w:bCs/>
          <w:sz w:val="24"/>
        </w:rPr>
      </w:pPr>
    </w:p>
    <w:p>
      <w:pPr>
        <w:pStyle w:val="4"/>
        <w:rPr>
          <w:rFonts w:hint="eastAsia" w:cs="Arial"/>
          <w:szCs w:val="24"/>
          <w:lang w:eastAsia="zh-CN"/>
        </w:rPr>
      </w:pPr>
      <w:bookmarkStart w:id="73" w:name="_Toc3857"/>
      <w:r>
        <w:rPr>
          <w:rFonts w:hint="eastAsia" w:cs="Arial"/>
          <w:szCs w:val="24"/>
          <w:lang w:eastAsia="zh-CN"/>
        </w:rPr>
        <w:t>3.3</w:t>
      </w:r>
      <w:r>
        <w:rPr>
          <w:rFonts w:hint="eastAsia" w:cs="Arial"/>
          <w:szCs w:val="24"/>
          <w:lang w:val="en-US" w:eastAsia="zh-CN"/>
        </w:rPr>
        <w:t xml:space="preserve">     </w:t>
      </w:r>
      <w:r>
        <w:rPr>
          <w:rFonts w:hint="eastAsia" w:cs="Arial"/>
          <w:szCs w:val="24"/>
          <w:lang w:eastAsia="zh-CN"/>
        </w:rPr>
        <w:t>资产负债管理策略的实施</w:t>
      </w:r>
      <w:bookmarkEnd w:id="73"/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利率免疫</w:t>
      </w:r>
    </w:p>
    <w:p>
      <w:pPr>
        <w:jc w:val="center"/>
      </w:pPr>
      <w:r>
        <w:drawing>
          <wp:inline distT="0" distB="0" distL="0" distR="0">
            <wp:extent cx="1816100" cy="7366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39"/>
                    <a:stretch>
                      <a:fillRect/>
                    </a:stretch>
                  </pic:blipFill>
                  <pic:spPr>
                    <a:xfrm>
                      <a:off x="0" y="0"/>
                      <a:ext cx="1816206" cy="73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此处：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eastAsia"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eastAsia"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 xml:space="preserve"> </w:t>
      </w:r>
      <w:r>
        <w:t xml:space="preserve">         </w:t>
      </w:r>
      <w:r>
        <w:rPr>
          <w:rFonts w:hint="eastAsia"/>
        </w:rPr>
        <w:t>t时刻资产现值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L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 xml:space="preserve"> </w:t>
      </w:r>
      <w:r>
        <w:t xml:space="preserve">       t</w:t>
      </w:r>
      <w:r>
        <w:rPr>
          <w:rFonts w:hint="eastAsia"/>
        </w:rPr>
        <w:t>时刻负债现值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MD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资产的修正久期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MD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L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负债的修正久期</w:t>
      </w:r>
    </w:p>
    <w:p/>
    <w:p>
      <w:pPr>
        <w:pStyle w:val="3"/>
        <w:rPr>
          <w:rFonts w:hint="eastAsia" w:cs="Arial"/>
          <w:lang w:eastAsia="zh-CN"/>
        </w:rPr>
      </w:pPr>
      <w:bookmarkStart w:id="74" w:name="_Toc27130"/>
      <w:bookmarkStart w:id="75" w:name="_Hlk119424654"/>
      <w:bookmarkStart w:id="76" w:name="_Hlk119423354"/>
      <w:r>
        <w:rPr>
          <w:rFonts w:hint="eastAsia" w:cs="Arial"/>
          <w:lang w:eastAsia="zh-CN"/>
        </w:rPr>
        <w:t>4    对冲策略</w:t>
      </w:r>
      <w:bookmarkEnd w:id="74"/>
    </w:p>
    <w:p>
      <w:pPr>
        <w:pStyle w:val="4"/>
        <w:rPr>
          <w:rFonts w:hint="eastAsia" w:cs="Arial"/>
          <w:szCs w:val="24"/>
          <w:lang w:eastAsia="zh-CN"/>
        </w:rPr>
      </w:pPr>
      <w:bookmarkStart w:id="77" w:name="_Toc1890"/>
      <w:r>
        <w:rPr>
          <w:rFonts w:hint="eastAsia" w:cs="Arial"/>
          <w:szCs w:val="24"/>
          <w:lang w:eastAsia="zh-CN"/>
        </w:rPr>
        <w:t>4.1  利用股票指数期货的对冲</w:t>
      </w:r>
      <w:bookmarkEnd w:id="77"/>
    </w:p>
    <w:p>
      <w:pPr>
        <w:rPr>
          <w:b/>
          <w:bCs/>
        </w:rPr>
      </w:pPr>
      <w:r>
        <w:rPr>
          <w:rFonts w:hint="eastAsia"/>
          <w:b/>
          <w:bCs/>
        </w:rPr>
        <w:t>股指期货的对冲比率</w:t>
      </w:r>
    </w:p>
    <w:p>
      <w:pPr>
        <w:jc w:val="center"/>
      </w:pPr>
      <w:r>
        <w:t xml:space="preserve">HR = β · </w:t>
      </w:r>
      <w:r>
        <w:rPr>
          <w:rFonts w:hint="eastAsia"/>
        </w:rPr>
        <w:t>对冲数额</w:t>
      </w:r>
      <w:r>
        <w:rPr>
          <w:rFonts w:hint="eastAsia" w:ascii="宋体" w:hAnsi="宋体"/>
        </w:rPr>
        <w:t>／</w:t>
      </w:r>
      <w:bookmarkStart w:id="78" w:name="_Hlk119426422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t,T</m:t>
            </m:r>
            <m:ctrlPr>
              <w:rPr>
                <w:rFonts w:ascii="Cambria Math" w:hAnsi="Cambria Math"/>
                <w:i/>
              </w:rPr>
            </m:ctrlPr>
          </m:sub>
        </m:sSub>
      </m:oMath>
    </w:p>
    <w:bookmarkEnd w:id="78"/>
    <w:p>
      <w:r>
        <w:rPr>
          <w:rFonts w:hint="eastAsia"/>
        </w:rPr>
        <w:t>此处：</w:t>
      </w:r>
      <w:r>
        <w:t xml:space="preserve"> </w:t>
      </w:r>
    </w:p>
    <w:p>
      <w:bookmarkStart w:id="79" w:name="_Hlk119426907"/>
      <w:r>
        <w:t xml:space="preserve">β         </w:t>
      </w:r>
      <w:r>
        <w:rPr>
          <w:rFonts w:hint="eastAsia"/>
        </w:rPr>
        <w:t>组合对于市场风险的敏感度</w:t>
      </w:r>
    </w:p>
    <w:bookmarkEnd w:id="79"/>
    <w:p>
      <w:bookmarkStart w:id="80" w:name="_Hlk119426954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t,T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</w:t>
      </w:r>
      <w:bookmarkStart w:id="81" w:name="_Hlk119426643"/>
      <w:r>
        <w:rPr>
          <w:rFonts w:hint="eastAsia"/>
        </w:rPr>
        <w:t>期限为T的期货合约在t时刻的价值</w:t>
      </w:r>
      <w:bookmarkEnd w:id="81"/>
    </w:p>
    <w:bookmarkEnd w:id="80"/>
    <w:p>
      <w:r>
        <w:t xml:space="preserve">HR     </w:t>
      </w:r>
      <w:r>
        <w:rPr>
          <w:rFonts w:hint="eastAsia"/>
        </w:rPr>
        <w:t>对冲比率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股指期货的合约价值</w:t>
      </w:r>
    </w:p>
    <w:p>
      <w:pPr>
        <w:jc w:val="center"/>
      </w:pPr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t,T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>= FPV·</w:t>
      </w:r>
      <w:r>
        <w:rPr>
          <w:rFonts w:hint="eastAsia"/>
        </w:rPr>
        <w:t>期货价格</w:t>
      </w:r>
    </w:p>
    <w:p>
      <w:r>
        <w:rPr>
          <w:rFonts w:hint="eastAsia"/>
        </w:rPr>
        <w:t>此处：</w:t>
      </w:r>
      <w:r>
        <w:t xml:space="preserve"> 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t,T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</w:t>
      </w:r>
      <w:r>
        <w:rPr>
          <w:rFonts w:hint="eastAsia"/>
        </w:rPr>
        <w:t>期限为</w:t>
      </w:r>
      <w:r>
        <w:t>T的期货合约在</w:t>
      </w:r>
      <w:r>
        <w:rPr>
          <w:rFonts w:hint="eastAsia"/>
        </w:rPr>
        <w:t>t</w:t>
      </w:r>
      <w:r>
        <w:t>时刻的价</w:t>
      </w:r>
      <w:r>
        <w:rPr>
          <w:rFonts w:hint="eastAsia"/>
        </w:rPr>
        <w:t>值</w:t>
      </w:r>
      <w:r>
        <w:t xml:space="preserve"> </w:t>
      </w:r>
    </w:p>
    <w:p>
      <w:r>
        <w:t xml:space="preserve">FPV    </w:t>
      </w:r>
      <w:r>
        <w:rPr>
          <w:rFonts w:hint="eastAsia"/>
        </w:rPr>
        <w:t>未来时点价值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股指期货合约的数量</w:t>
      </w:r>
    </w:p>
    <w:p>
      <w:pPr>
        <w:jc w:val="center"/>
      </w:pPr>
      <w:r>
        <w:t xml:space="preserve"> </w:t>
      </w:r>
      <w:r>
        <w:drawing>
          <wp:inline distT="0" distB="0" distL="0" distR="0">
            <wp:extent cx="1155700" cy="4191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40"/>
                    <a:stretch>
                      <a:fillRect/>
                    </a:stretch>
                  </pic:blipFill>
                  <pic:spPr>
                    <a:xfrm>
                      <a:off x="0" y="0"/>
                      <a:ext cx="1155860" cy="41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r>
        <w:rPr>
          <w:rFonts w:hint="eastAsia"/>
        </w:rPr>
        <w:t>此处：</w:t>
      </w:r>
    </w:p>
    <w:p>
      <w:r>
        <w:t xml:space="preserve"> NF      </w:t>
      </w:r>
      <w:r>
        <w:rPr>
          <w:rFonts w:hint="eastAsia"/>
        </w:rPr>
        <w:t>期货合约的数量</w:t>
      </w:r>
    </w:p>
    <w:p>
      <w:r>
        <w:t xml:space="preserve"> β         组合对于市场风险的敏感度</w:t>
      </w:r>
    </w:p>
    <w:p>
      <w:bookmarkStart w:id="82" w:name="_Hlk119427275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t,T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</w:t>
      </w:r>
      <w:r>
        <w:rPr>
          <w:rFonts w:hint="eastAsia"/>
        </w:rPr>
        <w:t>期限为</w:t>
      </w:r>
      <w:r>
        <w:t>T的期货合约在</w:t>
      </w:r>
      <w:r>
        <w:rPr>
          <w:rFonts w:hint="eastAsia"/>
        </w:rPr>
        <w:t>t</w:t>
      </w:r>
      <w:r>
        <w:t>时刻的价</w:t>
      </w:r>
      <w:r>
        <w:rPr>
          <w:rFonts w:hint="eastAsia"/>
        </w:rPr>
        <w:t>值</w:t>
      </w:r>
    </w:p>
    <w:bookmarkEnd w:id="82"/>
    <w:p>
      <w:r>
        <w:t xml:space="preserve"> St        </w:t>
      </w:r>
      <w:r>
        <w:rPr>
          <w:rFonts w:hint="eastAsia"/>
        </w:rPr>
        <w:t>需对冲的总组合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股指期货合约的最优数量</w:t>
      </w:r>
    </w:p>
    <w:p>
      <w:pPr>
        <w:jc w:val="center"/>
      </w:pPr>
      <w:r>
        <w:t>NF =</w:t>
      </w:r>
      <w:r>
        <w:rPr>
          <w:rFonts w:hint="eastAsia"/>
        </w:rPr>
        <w:t>（</w:t>
      </w:r>
      <w:r>
        <w:t xml:space="preserve"> β</w:t>
      </w:r>
      <w:r>
        <w:rPr>
          <w:rFonts w:hint="eastAsia"/>
        </w:rPr>
        <w:t>目标</w:t>
      </w:r>
      <w:r>
        <w:t xml:space="preserve"> −β</w:t>
      </w:r>
      <w:r>
        <w:rPr>
          <w:rFonts w:hint="eastAsia"/>
        </w:rPr>
        <w:t>实际）</w:t>
      </w:r>
      <w:r>
        <w:t xml:space="preserve"> · </w:t>
      </w:r>
      <w:r>
        <w:rPr>
          <w:rFonts w:hint="eastAsia"/>
        </w:rPr>
        <w:t>对冲数额</w:t>
      </w:r>
      <w:r>
        <w:rPr>
          <w:rFonts w:hint="eastAsia" w:ascii="宋体" w:hAnsi="宋体"/>
        </w:rPr>
        <w:t>／</w:t>
      </w:r>
      <w:r>
        <w:t xml:space="preserve"> </w:t>
      </w:r>
      <w:r>
        <w:rPr>
          <w:rFonts w:hint="eastAsia"/>
        </w:rPr>
        <w:t>合约价值</w:t>
      </w:r>
      <w:r>
        <w:t xml:space="preserve"> (</w:t>
      </w:r>
      <w:r>
        <w:rPr>
          <w:rFonts w:hint="eastAsia"/>
        </w:rPr>
        <w:t>未来</w:t>
      </w:r>
      <w:r>
        <w:t>)</w:t>
      </w:r>
    </w:p>
    <w:p>
      <w:r>
        <w:rPr>
          <w:rFonts w:hint="eastAsia"/>
        </w:rPr>
        <w:t>此处：</w:t>
      </w:r>
    </w:p>
    <w:p>
      <w:r>
        <w:t xml:space="preserve">NF      </w:t>
      </w:r>
      <w:r>
        <w:rPr>
          <w:rFonts w:hint="eastAsia"/>
        </w:rPr>
        <w:t>期货的最优数量</w:t>
      </w:r>
    </w:p>
    <w:p>
      <w:r>
        <w:t xml:space="preserve"> β        组合对于市场风险的敏感度</w:t>
      </w:r>
    </w:p>
    <w:p>
      <w:bookmarkStart w:id="83" w:name="_Hlk119428822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t,T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</w:t>
      </w:r>
      <w:r>
        <w:rPr>
          <w:rFonts w:hint="eastAsia"/>
        </w:rPr>
        <w:t>期限为</w:t>
      </w:r>
      <w:r>
        <w:t>T的期货合约在</w:t>
      </w:r>
      <w:r>
        <w:rPr>
          <w:rFonts w:hint="eastAsia"/>
        </w:rPr>
        <w:t>t</w:t>
      </w:r>
      <w:r>
        <w:t>时刻的价</w:t>
      </w:r>
      <w:r>
        <w:rPr>
          <w:rFonts w:hint="eastAsia"/>
        </w:rPr>
        <w:t>值</w:t>
      </w:r>
    </w:p>
    <w:bookmarkEnd w:id="83"/>
    <w:p/>
    <w:p>
      <w:pPr>
        <w:pStyle w:val="4"/>
        <w:rPr>
          <w:rFonts w:cs="Arial"/>
          <w:szCs w:val="24"/>
          <w:lang w:eastAsia="zh-CN"/>
        </w:rPr>
      </w:pPr>
      <w:bookmarkStart w:id="84" w:name="_Toc8117"/>
      <w:r>
        <w:rPr>
          <w:rFonts w:hint="eastAsia" w:cs="Arial"/>
          <w:szCs w:val="24"/>
          <w:lang w:eastAsia="zh-CN"/>
        </w:rPr>
        <w:t>4</w:t>
      </w:r>
      <w:r>
        <w:rPr>
          <w:rFonts w:cs="Arial"/>
          <w:szCs w:val="24"/>
          <w:lang w:eastAsia="zh-CN"/>
        </w:rPr>
        <w:t xml:space="preserve">.2  </w:t>
      </w:r>
      <w:r>
        <w:rPr>
          <w:rFonts w:hint="eastAsia" w:cs="Arial"/>
          <w:szCs w:val="24"/>
          <w:lang w:val="en-US" w:eastAsia="zh-CN"/>
        </w:rPr>
        <w:t xml:space="preserve">   </w:t>
      </w:r>
      <w:r>
        <w:rPr>
          <w:rFonts w:hint="eastAsia" w:cs="Arial"/>
          <w:szCs w:val="24"/>
          <w:lang w:eastAsia="zh-CN"/>
        </w:rPr>
        <w:t>利用利率期货和互换的对冲</w:t>
      </w:r>
      <w:bookmarkEnd w:id="84"/>
    </w:p>
    <w:p>
      <w:pPr>
        <w:rPr>
          <w:b/>
          <w:bCs/>
        </w:rPr>
      </w:pPr>
      <w:r>
        <w:rPr>
          <w:rFonts w:hint="eastAsia"/>
          <w:b/>
          <w:bCs/>
        </w:rPr>
        <w:t>债券期货的对冲比率</w:t>
      </w:r>
    </w:p>
    <w:p>
      <w:pPr>
        <w:jc w:val="center"/>
      </w:pPr>
      <w:r>
        <w:rPr>
          <w:rFonts w:hint="eastAsia"/>
        </w:rPr>
        <w:t>HR</w:t>
      </w:r>
      <w:r>
        <w:t xml:space="preserve"> =</w:t>
      </w:r>
      <m:oMath>
        <m:r>
          <m:rPr/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/>
                  </w:rPr>
                  <m:t>MD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ascii="Cambria Math" w:hAnsi="Cambria Math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/>
                  </w:rPr>
                  <m:t>MD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 w:ascii="宋体" w:hAnsi="宋体"/>
        </w:rPr>
        <w:t>﹒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eastAsia" w:ascii="Cambria Math" w:hAnsi="Cambria Math"/>
              </w:rPr>
              <m:t>对冲数量</m:t>
            </m:r>
            <m:ctrlPr>
              <w:rPr>
                <w:rFonts w:ascii="Cambria Math" w:hAnsi="Cambria Math"/>
                <w:i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ascii="Cambria Math" w:hAnsi="Cambria Math"/>
                  </w:rPr>
                  <m:t>t,T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den>
        </m:f>
      </m:oMath>
    </w:p>
    <w:p/>
    <w:p>
      <w:r>
        <w:rPr>
          <w:rFonts w:hint="eastAsia"/>
        </w:rPr>
        <w:t>此处：</w:t>
      </w:r>
    </w:p>
    <w:p>
      <w:r>
        <w:t xml:space="preserve">HR       </w:t>
      </w:r>
      <w:r>
        <w:rPr>
          <w:rFonts w:hint="eastAsia"/>
        </w:rPr>
        <w:t xml:space="preserve">对冲比率 </w:t>
      </w:r>
    </w:p>
    <w:p>
      <w:r>
        <w:t xml:space="preserve">MDp      </w:t>
      </w:r>
      <w:r>
        <w:rPr>
          <w:rFonts w:hint="eastAsia"/>
        </w:rPr>
        <w:t>组合的修正久期</w:t>
      </w:r>
    </w:p>
    <w:p>
      <w:r>
        <w:t xml:space="preserve">MDF      </w:t>
      </w:r>
      <w:r>
        <w:rPr>
          <w:rFonts w:hint="eastAsia"/>
        </w:rPr>
        <w:t xml:space="preserve">期货合约的修正久期 </w:t>
      </w:r>
      <w:r>
        <w:t xml:space="preserve">    </w:t>
      </w:r>
    </w:p>
    <w:p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t,T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 </w:t>
      </w:r>
      <w:bookmarkStart w:id="85" w:name="_Hlk119501968"/>
      <w:r>
        <w:rPr>
          <w:rFonts w:hint="eastAsia"/>
        </w:rPr>
        <w:t>期限为</w:t>
      </w:r>
      <w:r>
        <w:t>T的期货合约在</w:t>
      </w:r>
      <w:r>
        <w:rPr>
          <w:rFonts w:hint="eastAsia"/>
        </w:rPr>
        <w:t>t</w:t>
      </w:r>
      <w:r>
        <w:t>时刻的价</w:t>
      </w:r>
      <w:r>
        <w:rPr>
          <w:rFonts w:hint="eastAsia"/>
        </w:rPr>
        <w:t>值</w:t>
      </w:r>
      <w:bookmarkEnd w:id="85"/>
    </w:p>
    <w:p>
      <w:pPr>
        <w:rPr>
          <w:b/>
          <w:bCs/>
        </w:rPr>
      </w:pPr>
      <w:r>
        <w:cr/>
      </w:r>
      <w:r>
        <w:rPr>
          <w:rFonts w:hint="eastAsia"/>
          <w:b/>
          <w:bCs/>
        </w:rPr>
        <w:t>债券期货的修正对冲比率</w:t>
      </w:r>
    </w:p>
    <w:p/>
    <w:p>
      <w:pPr>
        <w:jc w:val="center"/>
      </w:pPr>
      <w:r>
        <w:drawing>
          <wp:inline distT="0" distB="0" distL="0" distR="0">
            <wp:extent cx="3780790" cy="99504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41"/>
                    <a:stretch>
                      <a:fillRect/>
                    </a:stretch>
                  </pic:blipFill>
                  <pic:spPr>
                    <a:xfrm>
                      <a:off x="0" y="0"/>
                      <a:ext cx="3819638" cy="100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此处：</w:t>
      </w:r>
    </w:p>
    <w:p>
      <w:r>
        <w:t xml:space="preserve">HR         </w:t>
      </w:r>
      <w:bookmarkStart w:id="86" w:name="_Hlk119502320"/>
      <w:r>
        <w:t xml:space="preserve"> </w:t>
      </w:r>
      <w:r>
        <w:rPr>
          <w:rFonts w:hint="eastAsia"/>
        </w:rPr>
        <w:t>对冲比率</w:t>
      </w:r>
      <w:bookmarkEnd w:id="86"/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MD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p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</w:t>
      </w:r>
      <w:r>
        <w:rPr>
          <w:rFonts w:hint="eastAsia"/>
        </w:rPr>
        <w:t>组合的修正久期</w:t>
      </w:r>
    </w:p>
    <w:p>
      <w:pPr>
        <w:tabs>
          <w:tab w:val="center" w:pos="4153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MD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</w:t>
      </w:r>
      <w:r>
        <w:rPr>
          <w:rFonts w:hint="eastAsia"/>
        </w:rPr>
        <w:t>期货合约的修正久期</w:t>
      </w:r>
      <w:r>
        <w:tab/>
      </w:r>
      <w:r>
        <w:t xml:space="preserve"> </w:t>
      </w:r>
    </w:p>
    <w:p>
      <m:oMath>
        <m:sSub>
          <w:bookmarkStart w:id="87" w:name="_Hlk119502464"/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MD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CTD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CTD </w:t>
      </w:r>
      <w:r>
        <w:rPr>
          <w:rFonts w:hint="eastAsia"/>
        </w:rPr>
        <w:t>债券的修正久期</w:t>
      </w:r>
    </w:p>
    <w:bookmarkEnd w:id="87"/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MV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CTD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CTD </w:t>
      </w:r>
      <w:r>
        <w:rPr>
          <w:rFonts w:hint="eastAsia"/>
        </w:rPr>
        <w:t>债券的市场价值</w:t>
      </w:r>
    </w:p>
    <w:p>
      <w:bookmarkStart w:id="88" w:name="_Hlk119503594"/>
      <w:r>
        <w:t xml:space="preserve">Hedging Amount      </w:t>
      </w:r>
      <w:r>
        <w:rPr>
          <w:rFonts w:hint="eastAsia"/>
        </w:rPr>
        <w:t>对冲数量</w:t>
      </w:r>
    </w:p>
    <w:bookmarkEnd w:id="88"/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cf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CTD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</w:t>
      </w:r>
      <w:r>
        <w:rPr>
          <w:rFonts w:hint="eastAsia"/>
        </w:rPr>
        <w:t>转换因子</w:t>
      </w:r>
    </w:p>
    <w:p>
      <w:r>
        <w:t xml:space="preserve">CTD       </w:t>
      </w:r>
      <w:r>
        <w:rPr>
          <w:rFonts w:hint="eastAsia"/>
        </w:rPr>
        <w:t>交割最便宜</w:t>
      </w:r>
    </w:p>
    <w:p>
      <m:oMath>
        <m:sSub>
          <w:bookmarkStart w:id="89" w:name="_Hlk119502725"/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t,T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  </w:t>
      </w:r>
      <w:r>
        <w:rPr>
          <w:rFonts w:hint="eastAsia"/>
        </w:rPr>
        <w:t>期限为</w:t>
      </w:r>
      <w:r>
        <w:t>T的期货合约在</w:t>
      </w:r>
      <w:r>
        <w:rPr>
          <w:rFonts w:hint="eastAsia"/>
        </w:rPr>
        <w:t>t</w:t>
      </w:r>
      <w:r>
        <w:t>时刻的价</w:t>
      </w:r>
      <w:r>
        <w:rPr>
          <w:rFonts w:hint="eastAsia"/>
        </w:rPr>
        <w:t>值</w:t>
      </w:r>
    </w:p>
    <w:bookmarkEnd w:id="89"/>
    <w:p/>
    <w:p>
      <w:pPr>
        <w:rPr>
          <w:b/>
          <w:bCs/>
        </w:rPr>
      </w:pPr>
      <w:r>
        <w:rPr>
          <w:rFonts w:hint="eastAsia"/>
          <w:b/>
          <w:bCs/>
        </w:rPr>
        <w:t>债券期货的对冲比率</w:t>
      </w:r>
      <w:r>
        <w:rPr>
          <w:b/>
          <w:bCs/>
        </w:rPr>
        <w:t xml:space="preserve"> (</w:t>
      </w:r>
      <w:r>
        <w:rPr>
          <w:rFonts w:hint="eastAsia"/>
          <w:b/>
          <w:bCs/>
        </w:rPr>
        <w:t>有目标久期</w:t>
      </w:r>
      <w:r>
        <w:rPr>
          <w:b/>
          <w:bCs/>
        </w:rPr>
        <w:t>)</w:t>
      </w:r>
    </w:p>
    <w:p/>
    <w:p>
      <w:pPr>
        <w:jc w:val="center"/>
      </w:pPr>
      <w:r>
        <w:drawing>
          <wp:inline distT="0" distB="0" distL="0" distR="0">
            <wp:extent cx="2301875" cy="636905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42"/>
                    <a:stretch>
                      <a:fillRect/>
                    </a:stretch>
                  </pic:blipFill>
                  <pic:spPr>
                    <a:xfrm>
                      <a:off x="0" y="0"/>
                      <a:ext cx="2327273" cy="64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此处：</w:t>
      </w:r>
    </w:p>
    <w:p>
      <w:r>
        <w:t>HR         对冲比率</w:t>
      </w:r>
    </w:p>
    <w:p>
      <w:r>
        <w:t xml:space="preserve">∆MD      </w:t>
      </w:r>
      <w:r>
        <w:rPr>
          <w:rFonts w:hint="eastAsia"/>
        </w:rPr>
        <w:t>修正久期的预计变化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MD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CTD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CTD 债券的修正久期</w:t>
      </w:r>
    </w:p>
    <w:p>
      <w:r>
        <w:t>Hedging Amount      对</w:t>
      </w:r>
      <w:r>
        <w:rPr>
          <w:rFonts w:hint="eastAsia"/>
        </w:rPr>
        <w:t>冲数量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eastAsia" w:ascii="Cambria Math" w:hAnsi="Cambria Math"/>
              </w:rPr>
              <m:t>MD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target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</w:t>
      </w:r>
      <w:r>
        <w:rPr>
          <w:rFonts w:hint="eastAsia"/>
        </w:rPr>
        <w:t>目标久期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MD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actual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</w:t>
      </w:r>
      <w:r>
        <w:rPr>
          <w:rFonts w:hint="eastAsia"/>
        </w:rPr>
        <w:t>实际久期</w:t>
      </w:r>
    </w:p>
    <w:p>
      <w:r>
        <w:t xml:space="preserve">CTD       </w:t>
      </w:r>
      <w:r>
        <w:rPr>
          <w:rFonts w:hint="eastAsia"/>
        </w:rPr>
        <w:t>交割最便宜</w:t>
      </w:r>
    </w:p>
    <w:p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t,T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  </w:t>
      </w:r>
      <w:r>
        <w:rPr>
          <w:rFonts w:hint="eastAsia"/>
        </w:rPr>
        <w:t>期限为</w:t>
      </w:r>
      <w:r>
        <w:t>T的期货合约在</w:t>
      </w:r>
      <w:r>
        <w:rPr>
          <w:rFonts w:hint="eastAsia"/>
        </w:rPr>
        <w:t>t</w:t>
      </w:r>
      <w:r>
        <w:t>时刻的价</w:t>
      </w:r>
      <w:r>
        <w:rPr>
          <w:rFonts w:hint="eastAsia"/>
        </w:rPr>
        <w:t>值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利用利率互换</w:t>
      </w:r>
      <w:r>
        <w:rPr>
          <w:b/>
          <w:bCs/>
        </w:rPr>
        <w:t>(IRS)</w:t>
      </w:r>
      <w:r>
        <w:rPr>
          <w:rFonts w:hint="eastAsia"/>
          <w:b/>
          <w:bCs/>
        </w:rPr>
        <w:t>的对冲</w:t>
      </w:r>
    </w:p>
    <w:p/>
    <w:p/>
    <w:p>
      <w:pPr>
        <w:jc w:val="center"/>
      </w:pPr>
      <w:r>
        <w:drawing>
          <wp:inline distT="0" distB="0" distL="0" distR="0">
            <wp:extent cx="2859405" cy="1040765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43"/>
                    <a:stretch>
                      <a:fillRect/>
                    </a:stretch>
                  </pic:blipFill>
                  <pic:spPr>
                    <a:xfrm>
                      <a:off x="0" y="0"/>
                      <a:ext cx="2871688" cy="104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此处：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eastAsia" w:ascii="Cambria Math" w:hAnsi="Cambria Math"/>
              </w:rPr>
              <m:t>MD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Receiver−swap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 </w:t>
      </w:r>
      <w:r>
        <w:rPr>
          <w:rFonts w:hint="eastAsia"/>
        </w:rPr>
        <w:t>收受者互换的修正久期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MD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sℎort−leg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        </w:t>
      </w:r>
      <w:r>
        <w:rPr>
          <w:rFonts w:hint="eastAsia"/>
        </w:rPr>
        <w:t>短腿的修正久期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MD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long−leg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         </w:t>
      </w:r>
      <w:r>
        <w:rPr>
          <w:rFonts w:hint="eastAsia"/>
        </w:rPr>
        <w:t>长腿的修正久期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MD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Payer−swap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    </w:t>
      </w:r>
      <w:r>
        <w:rPr>
          <w:rFonts w:hint="eastAsia"/>
        </w:rPr>
        <w:t>支付者互换的修正久期</w:t>
      </w:r>
    </w:p>
    <w:p>
      <w:r>
        <w:t xml:space="preserve">HR                             </w:t>
      </w:r>
      <w:r>
        <w:rPr>
          <w:rFonts w:hint="eastAsia"/>
        </w:rPr>
        <w:t>对冲比率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MD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p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                   组合的修正久期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MD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IRS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                </w:t>
      </w:r>
      <w:r>
        <w:rPr>
          <w:rFonts w:hint="eastAsia"/>
        </w:rPr>
        <w:t>利率互换的修正久期</w:t>
      </w:r>
      <w:r>
        <w:cr/>
      </w:r>
      <w:r>
        <w:t>Hedging Amount      对</w:t>
      </w:r>
      <w:r>
        <w:rPr>
          <w:rFonts w:hint="eastAsia"/>
        </w:rPr>
        <w:t>冲数量</w:t>
      </w:r>
    </w:p>
    <w:p>
      <w:pPr>
        <w:rPr>
          <w:b/>
          <w:bCs/>
        </w:rPr>
      </w:pPr>
    </w:p>
    <w:p>
      <w:pPr>
        <w:rPr>
          <w:b/>
          <w:bCs/>
        </w:rPr>
      </w:pPr>
    </w:p>
    <w:bookmarkEnd w:id="75"/>
    <w:p>
      <w:pPr>
        <w:pStyle w:val="4"/>
        <w:rPr>
          <w:rFonts w:cs="Arial"/>
          <w:szCs w:val="24"/>
          <w:lang w:eastAsia="zh-CN"/>
        </w:rPr>
      </w:pPr>
      <w:bookmarkStart w:id="90" w:name="_Toc21581"/>
      <w:bookmarkStart w:id="91" w:name="_Hlk119506235"/>
      <w:r>
        <w:rPr>
          <w:rFonts w:cs="Arial"/>
          <w:szCs w:val="24"/>
          <w:lang w:eastAsia="zh-CN"/>
        </w:rPr>
        <w:t xml:space="preserve">4.3        </w:t>
      </w:r>
      <w:r>
        <w:rPr>
          <w:rFonts w:hint="eastAsia" w:cs="Arial"/>
          <w:szCs w:val="24"/>
          <w:lang w:eastAsia="zh-CN"/>
        </w:rPr>
        <w:t>静态投资组合保险</w:t>
      </w:r>
      <w:bookmarkEnd w:id="90"/>
    </w:p>
    <w:bookmarkEnd w:id="76"/>
    <w:bookmarkEnd w:id="91"/>
    <w:p>
      <w:pPr>
        <w:pStyle w:val="6"/>
        <w:rPr>
          <w:rFonts w:hint="eastAsia"/>
        </w:rPr>
      </w:pPr>
      <w:r>
        <w:rPr>
          <w:rFonts w:hint="eastAsia"/>
        </w:rPr>
        <w:t>保护性卖出期权策略的卖出期权数目</w:t>
      </w:r>
    </w:p>
    <w:p>
      <w:pPr>
        <w:pStyle w:val="6"/>
        <w:jc w:val="center"/>
        <w:rPr>
          <w:b w:val="0"/>
          <w:bCs w:val="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sSubPr>
          <m:e>
            <m:r>
              <m:rPr/>
              <w:rPr>
                <w:rFonts w:hint="eastAsia" w:ascii="Cambria Math" w:hAnsi="Cambria Math"/>
                <w:sz w:val="28"/>
                <w:szCs w:val="28"/>
              </w:rPr>
              <m:t>N</m:t>
            </m:r>
            <m:ctrlPr>
              <w:rPr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P</m:t>
            </m:r>
            <m:ctrlPr>
              <w:rPr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sub>
        </m:sSub>
      </m:oMath>
      <w:r>
        <w:rPr>
          <w:b w:val="0"/>
          <w:bCs w:val="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fPr>
          <m:num>
            <m:r>
              <m:rPr/>
              <w:rPr>
                <w:rFonts w:hint="eastAsia" w:ascii="Cambria Math" w:hAnsi="Cambria Math"/>
                <w:sz w:val="28"/>
                <w:szCs w:val="28"/>
              </w:rPr>
              <m:t>组合价值</m:t>
            </m:r>
            <m:ctrlPr>
              <w:rPr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num>
          <m:den>
            <m:r>
              <m:rPr/>
              <w:rPr>
                <w:rFonts w:hint="eastAsia" w:ascii="Cambria Math" w:hAnsi="Cambria Math"/>
                <w:sz w:val="28"/>
                <w:szCs w:val="28"/>
              </w:rPr>
              <m:t>指数水平</m:t>
            </m:r>
            <m:r>
              <m:rPr/>
              <w:rPr>
                <w:rFonts w:ascii="Cambria Math" w:hAnsi="Cambria Math"/>
                <w:sz w:val="28"/>
                <w:szCs w:val="28"/>
              </w:rPr>
              <m:t>∗</m:t>
            </m:r>
            <m:r>
              <m:rPr/>
              <w:rPr>
                <w:rFonts w:hint="eastAsia" w:ascii="Cambria Math" w:hAnsi="Cambria Math"/>
                <w:sz w:val="28"/>
                <w:szCs w:val="28"/>
              </w:rPr>
              <m:t>期权合约规模</m:t>
            </m:r>
            <m:ctrlPr>
              <w:rPr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den>
        </m:f>
      </m:oMath>
      <w:r>
        <w:rPr>
          <w:rFonts w:hint="eastAsia"/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 w:val="0"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hint="eastAsia" w:ascii="Cambria Math" w:hAnsi="Cambria Math"/>
                    <w:sz w:val="28"/>
                    <w:szCs w:val="28"/>
                  </w:rPr>
                  <m:t>S</m:t>
                </m:r>
                <m:ctrlPr>
                  <w:rPr>
                    <w:rFonts w:ascii="Cambria Math" w:hAnsi="Cambria Math"/>
                    <w:b w:val="0"/>
                    <w:bCs w:val="0"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  <m:ctrlPr>
                  <w:rPr>
                    <w:rFonts w:ascii="Cambria Math" w:hAnsi="Cambria Math"/>
                    <w:b w:val="0"/>
                    <w:bCs w:val="0"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 w:val="0"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  <m:ctrlPr>
                  <w:rPr>
                    <w:rFonts w:ascii="Cambria Math" w:hAnsi="Cambria Math"/>
                    <w:b w:val="0"/>
                    <w:bCs w:val="0"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  <m:ctrlPr>
                  <w:rPr>
                    <w:rFonts w:ascii="Cambria Math" w:hAnsi="Cambria Math"/>
                    <w:b w:val="0"/>
                    <w:bCs w:val="0"/>
                    <w:i/>
                    <w:sz w:val="28"/>
                    <w:szCs w:val="28"/>
                  </w:rPr>
                </m:ctrlPr>
              </m:sub>
            </m:sSub>
            <m:r>
              <m:rPr/>
              <w:rPr>
                <w:rFonts w:ascii="Cambria Math" w:hAnsi="Cambria Math"/>
                <w:sz w:val="28"/>
                <w:szCs w:val="28"/>
              </w:rPr>
              <m:t>∗k</m:t>
            </m:r>
            <m:ctrlPr>
              <w:rPr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den>
        </m:f>
      </m:oMath>
    </w:p>
    <w:p>
      <w:pPr>
        <w:pStyle w:val="6"/>
      </w:pPr>
      <w:r>
        <w:rPr>
          <w:rFonts w:hint="eastAsia"/>
        </w:rPr>
        <w:t>此处</w:t>
      </w:r>
    </w:p>
    <w:p>
      <w:pPr>
        <w:pStyle w:val="6"/>
        <w:jc w:val="both"/>
        <w:rPr>
          <w:b w:val="0"/>
          <w:bCs w:val="0"/>
        </w:rPr>
      </w:pPr>
      <w:r>
        <w:rPr>
          <w:b w:val="0"/>
          <w:bCs w:val="0"/>
        </w:rPr>
        <w:object>
          <v:shape id="_x0000_i1347" o:spt="75" type="#_x0000_t75" style="height:19.4pt;width:17.35pt;" o:ole="t" filled="f" o:preferrelative="t" stroked="f" coordsize="21600,21600">
            <v:path/>
            <v:fill on="f" focussize="0,0"/>
            <v:stroke on="f" joinstyle="miter"/>
            <v:imagedata r:id="rId645" o:title=""/>
            <o:lock v:ext="edit" aspectratio="t"/>
            <w10:wrap type="none"/>
            <w10:anchorlock/>
          </v:shape>
          <o:OLEObject Type="Embed" ProgID="Equation.3" ShapeID="_x0000_i1347" DrawAspect="Content" ObjectID="_1468076047" r:id="rId644">
            <o:LockedField>false</o:LockedField>
          </o:OLEObject>
        </w:object>
      </w:r>
      <w:r>
        <w:rPr>
          <w:rFonts w:hint="eastAsia"/>
          <w:b w:val="0"/>
          <w:bCs w:val="0"/>
        </w:rPr>
        <w:t xml:space="preserve">    </w:t>
      </w:r>
      <w:r>
        <w:rPr>
          <w:b w:val="0"/>
          <w:bCs w:val="0"/>
        </w:rPr>
        <w:tab/>
      </w:r>
      <w:r>
        <w:rPr>
          <w:rFonts w:hint="eastAsia"/>
          <w:b w:val="0"/>
          <w:bCs w:val="0"/>
        </w:rPr>
        <w:t>保护性卖出期权的数目</w:t>
      </w:r>
    </w:p>
    <w:p>
      <w:pPr>
        <w:pStyle w:val="6"/>
        <w:jc w:val="both"/>
        <w:rPr>
          <w:b w:val="0"/>
          <w:bCs w:val="0"/>
        </w:rPr>
      </w:pPr>
      <w:r>
        <w:rPr>
          <w:b w:val="0"/>
          <w:bCs w:val="0"/>
        </w:rPr>
        <w:object>
          <v:shape id="_x0000_i1348" o:spt="75" type="#_x0000_t75" style="height:18.9pt;width:14.3pt;" o:ole="t" filled="f" o:preferrelative="t" stroked="f" coordsize="21600,21600">
            <v:path/>
            <v:fill on="f" focussize="0,0"/>
            <v:stroke on="f" joinstyle="miter"/>
            <v:imagedata r:id="rId647" o:title=""/>
            <o:lock v:ext="edit" aspectratio="t"/>
            <w10:wrap type="none"/>
            <w10:anchorlock/>
          </v:shape>
          <o:OLEObject Type="Embed" ProgID="Equation.3" ShapeID="_x0000_i1348" DrawAspect="Content" ObjectID="_1468076048" r:id="rId646">
            <o:LockedField>false</o:LockedField>
          </o:OLEObject>
        </w:object>
      </w:r>
      <w:r>
        <w:rPr>
          <w:rFonts w:hint="eastAsia"/>
          <w:b w:val="0"/>
          <w:bCs w:val="0"/>
        </w:rPr>
        <w:t xml:space="preserve">   </w:t>
      </w:r>
      <w:r>
        <w:rPr>
          <w:b w:val="0"/>
          <w:bCs w:val="0"/>
        </w:rPr>
        <w:tab/>
      </w:r>
      <w:r>
        <w:rPr>
          <w:rFonts w:hint="eastAsia"/>
          <w:b w:val="0"/>
          <w:bCs w:val="0"/>
        </w:rPr>
        <w:t>被保险的投资组合的初始价值</w:t>
      </w:r>
    </w:p>
    <w:p>
      <w:pPr>
        <w:pStyle w:val="6"/>
        <w:jc w:val="both"/>
        <w:rPr>
          <w:b w:val="0"/>
          <w:bCs w:val="0"/>
        </w:rPr>
      </w:pPr>
      <w:r>
        <w:rPr>
          <w:b w:val="0"/>
          <w:bCs w:val="0"/>
        </w:rPr>
        <w:object>
          <v:shape id="_x0000_i1349" o:spt="75" type="#_x0000_t75" style="height:18.9pt;width:12.25pt;" o:ole="t" filled="f" o:preferrelative="t" stroked="f" coordsize="21600,21600">
            <v:path/>
            <v:fill on="f" focussize="0,0"/>
            <v:stroke on="f" joinstyle="miter"/>
            <v:imagedata r:id="rId649" o:title=""/>
            <o:lock v:ext="edit" aspectratio="t"/>
            <w10:wrap type="none"/>
            <w10:anchorlock/>
          </v:shape>
          <o:OLEObject Type="Embed" ProgID="Equation.3" ShapeID="_x0000_i1349" DrawAspect="Content" ObjectID="_1468076049" r:id="rId648">
            <o:LockedField>false</o:LockedField>
          </o:OLEObject>
        </w:object>
      </w:r>
      <w:r>
        <w:rPr>
          <w:rFonts w:hint="eastAsia"/>
          <w:b w:val="0"/>
          <w:bCs w:val="0"/>
        </w:rPr>
        <w:t xml:space="preserve">   </w:t>
      </w:r>
      <w:r>
        <w:rPr>
          <w:b w:val="0"/>
          <w:bCs w:val="0"/>
        </w:rPr>
        <w:t xml:space="preserve">   </w:t>
      </w:r>
      <w:r>
        <w:rPr>
          <w:b w:val="0"/>
          <w:bCs w:val="0"/>
        </w:rPr>
        <w:tab/>
      </w:r>
      <w:r>
        <w:rPr>
          <w:rFonts w:hint="eastAsia"/>
          <w:b w:val="0"/>
          <w:bCs w:val="0"/>
        </w:rPr>
        <w:t>指数的初始水平</w:t>
      </w:r>
    </w:p>
    <w:p>
      <w:pPr>
        <w:pStyle w:val="6"/>
        <w:jc w:val="both"/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k   </w:t>
      </w:r>
      <w:r>
        <w:rPr>
          <w:b w:val="0"/>
          <w:bCs w:val="0"/>
        </w:rPr>
        <w:t xml:space="preserve">     </w:t>
      </w:r>
      <w:r>
        <w:rPr>
          <w:b w:val="0"/>
          <w:bCs w:val="0"/>
        </w:rPr>
        <w:tab/>
      </w:r>
      <w:r>
        <w:rPr>
          <w:rFonts w:hint="eastAsia"/>
          <w:b w:val="0"/>
          <w:bCs w:val="0"/>
        </w:rPr>
        <w:t>期权合约规模</w:t>
      </w:r>
    </w:p>
    <w:p>
      <w:pPr>
        <w:pStyle w:val="6"/>
      </w:pPr>
    </w:p>
    <w:p>
      <w:pPr>
        <w:rPr>
          <w:b/>
          <w:bCs/>
        </w:rPr>
      </w:pPr>
      <w:r>
        <w:rPr>
          <w:rFonts w:hint="eastAsia"/>
          <w:b/>
          <w:bCs/>
        </w:rPr>
        <w:t>保护性卖出期权策略的组合权重</w:t>
      </w:r>
    </w:p>
    <w:p/>
    <w:p>
      <w:r>
        <w:rPr>
          <w:rFonts w:hint="eastAsia"/>
        </w:rPr>
        <w:t>风险资产投资权重：</w:t>
      </w:r>
    </w:p>
    <w:p>
      <w:pPr>
        <w:jc w:val="center"/>
      </w:pPr>
      <w:r>
        <w:drawing>
          <wp:inline distT="0" distB="0" distL="0" distR="0">
            <wp:extent cx="1978025" cy="478790"/>
            <wp:effectExtent l="0" t="0" r="317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50"/>
                    <a:stretch>
                      <a:fillRect/>
                    </a:stretch>
                  </pic:blipFill>
                  <pic:spPr>
                    <a:xfrm>
                      <a:off x="0" y="0"/>
                      <a:ext cx="1996674" cy="48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卖出期权投资权重：</w:t>
      </w:r>
    </w:p>
    <w:p>
      <w:pPr>
        <w:jc w:val="center"/>
      </w:pPr>
      <w:r>
        <w:drawing>
          <wp:inline distT="0" distB="0" distL="0" distR="0">
            <wp:extent cx="888365" cy="382270"/>
            <wp:effectExtent l="0" t="0" r="698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51"/>
                    <a:stretch>
                      <a:fillRect/>
                    </a:stretch>
                  </pic:blipFill>
                  <pic:spPr>
                    <a:xfrm>
                      <a:off x="0" y="0"/>
                      <a:ext cx="894553" cy="38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此处：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eastAsia" w:ascii="Cambria Math" w:hAnsi="Cambria Math"/>
              </w:rPr>
              <m:t>S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             </w:t>
      </w:r>
      <w:r>
        <w:rPr>
          <w:rFonts w:hint="eastAsia"/>
        </w:rPr>
        <w:t>要保护的组合的初始价值</w:t>
      </w:r>
    </w:p>
    <w:p>
      <w:r>
        <w:t>P(</w:t>
      </w:r>
      <m:oMath>
        <m:sSub>
          <w:bookmarkStart w:id="92" w:name="_Hlk119505110"/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I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0</m:t>
            </m:r>
            <w:bookmarkEnd w:id="92"/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,T,K)         </w:t>
      </w:r>
      <w:r>
        <w:rPr>
          <w:rFonts w:hint="eastAsia"/>
        </w:rPr>
        <w:t>初始价格</w:t>
      </w:r>
      <w:r>
        <w:rPr>
          <w:rFonts w:ascii="Cambria Math" w:hAnsi="Cambria Math"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I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</w:t>
      </w:r>
      <w:r>
        <w:rPr>
          <w:rFonts w:hint="eastAsia"/>
        </w:rPr>
        <w:t>，行权价格为</w:t>
      </w:r>
      <w:r>
        <w:t xml:space="preserve">K </w:t>
      </w:r>
      <w:r>
        <w:rPr>
          <w:rFonts w:hint="eastAsia"/>
        </w:rPr>
        <w:t>，期限为</w:t>
      </w:r>
      <w:r>
        <w:t xml:space="preserve"> T</w:t>
      </w:r>
      <w:r>
        <w:rPr>
          <w:rFonts w:hint="eastAsia"/>
        </w:rPr>
        <w:t>的卖出期权费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I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              </w:t>
      </w:r>
      <w:r>
        <w:rPr>
          <w:rFonts w:hint="eastAsia"/>
        </w:rPr>
        <w:t>指数的初始点位</w:t>
      </w:r>
    </w:p>
    <w:p>
      <w:pPr>
        <w:pStyle w:val="6"/>
      </w:pPr>
    </w:p>
    <w:p>
      <w:pPr>
        <w:pStyle w:val="4"/>
        <w:rPr>
          <w:szCs w:val="24"/>
          <w:lang w:eastAsia="zh-CN"/>
        </w:rPr>
      </w:pPr>
      <w:bookmarkStart w:id="93" w:name="_Toc4158"/>
      <w:bookmarkStart w:id="94" w:name="_Hlk119510470"/>
      <w:r>
        <w:rPr>
          <w:szCs w:val="24"/>
          <w:lang w:eastAsia="zh-CN"/>
        </w:rPr>
        <w:t xml:space="preserve">4.4       </w:t>
      </w:r>
      <w:r>
        <w:rPr>
          <w:rFonts w:hint="eastAsia"/>
          <w:szCs w:val="24"/>
          <w:lang w:eastAsia="zh-CN"/>
        </w:rPr>
        <w:t>动态投资组合保险</w:t>
      </w:r>
      <w:bookmarkEnd w:id="93"/>
    </w:p>
    <w:bookmarkEnd w:id="94"/>
    <w:p>
      <w:pPr>
        <w:pStyle w:val="6"/>
      </w:pPr>
      <w:r>
        <w:rPr>
          <w:rFonts w:hint="eastAsia"/>
        </w:rPr>
        <w:t>支付连续股利收益率y的指数的欧式卖出期权的价格</w:t>
      </w:r>
    </w:p>
    <w:p>
      <w:pPr>
        <w:pStyle w:val="6"/>
      </w:pPr>
      <w:r>
        <w:rPr>
          <w:rFonts w:hint="eastAsia"/>
        </w:rPr>
        <w:t>布莱克和斯科尔斯模型</w:t>
      </w:r>
    </w:p>
    <w:p>
      <w:pPr>
        <w:pStyle w:val="62"/>
        <w:rPr>
          <w:lang w:eastAsia="zh-CN"/>
        </w:rPr>
      </w:pPr>
      <w:r>
        <w:rPr>
          <w:position w:val="-12"/>
        </w:rPr>
        <w:object>
          <v:shape id="_x0000_i1350" o:spt="75" type="#_x0000_t75" style="height:26.05pt;width:305.35pt;" o:ole="t" filled="f" o:preferrelative="t" stroked="f" coordsize="21600,21600">
            <v:path/>
            <v:fill on="f" focussize="0,0"/>
            <v:stroke on="f" joinstyle="miter"/>
            <v:imagedata r:id="rId653" croptop="-7489f" o:title=""/>
            <o:lock v:ext="edit" aspectratio="t"/>
            <w10:wrap type="none"/>
            <w10:anchorlock/>
          </v:shape>
          <o:OLEObject Type="Embed" ProgID="Equation.3" ShapeID="_x0000_i1350" DrawAspect="Content" ObjectID="_1468076050" r:id="rId652">
            <o:LockedField>false</o:LockedField>
          </o:OLEObject>
        </w:object>
      </w:r>
    </w:p>
    <w:p>
      <w:pPr>
        <w:jc w:val="center"/>
        <w:rPr>
          <w:position w:val="-28"/>
        </w:rPr>
      </w:pPr>
      <w:r>
        <w:rPr>
          <w:position w:val="-28"/>
        </w:rPr>
        <w:object>
          <v:shape id="_x0000_i1351" o:spt="75" type="#_x0000_t75" style="height:50.05pt;width:211.4pt;" o:ole="t" filled="f" o:preferrelative="t" stroked="f" coordsize="21600,21600">
            <v:path/>
            <v:fill on="f" focussize="0,0"/>
            <v:stroke on="f" joinstyle="miter"/>
            <v:imagedata r:id="rId655" o:title=""/>
            <o:lock v:ext="edit" aspectratio="t"/>
            <w10:wrap type="none"/>
            <w10:anchorlock/>
          </v:shape>
          <o:OLEObject Type="Embed" ProgID="Equation.3" ShapeID="_x0000_i1351" DrawAspect="Content" ObjectID="_1468076051" r:id="rId654">
            <o:LockedField>false</o:LockedField>
          </o:OLEObject>
        </w:object>
      </w:r>
    </w:p>
    <w:p>
      <w:pPr>
        <w:jc w:val="center"/>
        <w:rPr>
          <w:rFonts w:ascii="宋体" w:hAnsi="宋体"/>
        </w:rPr>
      </w:pPr>
      <w:r>
        <w:rPr>
          <w:position w:val="-14"/>
        </w:rPr>
        <w:object>
          <v:shape id="_x0000_i1352" o:spt="75" type="#_x0000_t75" style="height:24pt;width:102.65pt;" o:ole="t" filled="f" o:preferrelative="t" stroked="f" coordsize="21600,21600">
            <v:path/>
            <v:fill on="f" focussize="0,0"/>
            <v:stroke on="f" joinstyle="miter"/>
            <v:imagedata r:id="rId657" o:title=""/>
            <o:lock v:ext="edit" aspectratio="t"/>
            <w10:wrap type="none"/>
            <w10:anchorlock/>
          </v:shape>
          <o:OLEObject Type="Embed" ProgID="Equation.3" ShapeID="_x0000_i1352" DrawAspect="Content" ObjectID="_1468076052" r:id="rId656">
            <o:LockedField>false</o:LockedField>
          </o:OLEObject>
        </w:objec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此处</w:t>
      </w:r>
    </w:p>
    <w:p>
      <w:pPr>
        <w:ind w:firstLine="420"/>
      </w:pPr>
      <w:r>
        <w:t>P(S</w:t>
      </w:r>
      <w:r>
        <w:rPr>
          <w:rFonts w:hint="eastAsia"/>
          <w:szCs w:val="21"/>
          <w:vertAlign w:val="subscript"/>
        </w:rPr>
        <w:t>t</w:t>
      </w:r>
      <w:r>
        <w:t>,T,K)</w:t>
      </w:r>
      <w:r>
        <w:tab/>
      </w:r>
      <w:r>
        <w:tab/>
      </w:r>
      <w:r>
        <w:rPr>
          <w:rFonts w:hAnsi="宋体"/>
        </w:rPr>
        <w:t>现货价格为</w:t>
      </w:r>
      <w:r>
        <w:t>S</w:t>
      </w:r>
      <w:r>
        <w:rPr>
          <w:rFonts w:hint="eastAsia"/>
          <w:szCs w:val="21"/>
          <w:vertAlign w:val="subscript"/>
        </w:rPr>
        <w:t>t</w:t>
      </w:r>
      <w:r>
        <w:rPr>
          <w:rFonts w:hAnsi="宋体"/>
        </w:rPr>
        <w:t>，行权价格为</w:t>
      </w:r>
      <w:r>
        <w:t>K</w:t>
      </w:r>
      <w:r>
        <w:rPr>
          <w:rFonts w:hAnsi="宋体"/>
        </w:rPr>
        <w:t>，到期日为</w:t>
      </w:r>
      <w:r>
        <w:t xml:space="preserve">T </w:t>
      </w:r>
      <w:r>
        <w:rPr>
          <w:rFonts w:hAnsi="宋体"/>
        </w:rPr>
        <w:t>的卖出期权费</w:t>
      </w:r>
    </w:p>
    <w:p>
      <w:pPr>
        <w:ind w:firstLine="420"/>
      </w:pPr>
      <w:bookmarkStart w:id="95" w:name="_Hlk119508044"/>
      <w:r>
        <w:t xml:space="preserve">K    </w:t>
      </w:r>
      <w:r>
        <w:tab/>
      </w:r>
      <w:r>
        <w:tab/>
      </w:r>
      <w:r>
        <w:t xml:space="preserve">        </w:t>
      </w:r>
      <w:r>
        <w:rPr>
          <w:rFonts w:hAnsi="宋体"/>
        </w:rPr>
        <w:t>行权价格</w:t>
      </w:r>
    </w:p>
    <w:bookmarkEnd w:id="95"/>
    <w:p>
      <w:pPr>
        <w:ind w:firstLine="420"/>
      </w:pPr>
      <w:bookmarkStart w:id="96" w:name="_Hlk119508075"/>
      <w:r>
        <w:rPr>
          <w:position w:val="-14"/>
        </w:rPr>
        <w:object>
          <v:shape id="_x0000_i1353" o:spt="75" type="#_x0000_t75" style="height:18.9pt;width:12.25pt;" o:ole="t" filled="f" o:preferrelative="t" stroked="f" coordsize="21600,21600">
            <v:path/>
            <v:fill on="f" focussize="0,0"/>
            <v:stroke on="f" joinstyle="miter"/>
            <v:imagedata r:id="rId659" o:title=""/>
            <o:lock v:ext="edit" aspectratio="t"/>
            <w10:wrap type="none"/>
            <w10:anchorlock/>
          </v:shape>
          <o:OLEObject Type="Embed" ProgID="Equation.DSMT4" ShapeID="_x0000_i1353" DrawAspect="Content" ObjectID="_1468076053" r:id="rId658">
            <o:LockedField>false</o:LockedField>
          </o:OLEObject>
        </w:object>
      </w:r>
      <w:r>
        <w:rPr>
          <w:rFonts w:hint="eastAsia" w:hAnsi="宋体"/>
        </w:rPr>
        <w:t xml:space="preserve">   </w:t>
      </w:r>
      <w:r>
        <w:rPr>
          <w:rFonts w:hAnsi="宋体"/>
        </w:rPr>
        <w:tab/>
      </w:r>
      <w:r>
        <w:rPr>
          <w:rFonts w:hAnsi="宋体"/>
        </w:rPr>
        <w:tab/>
      </w:r>
      <w:r>
        <w:rPr>
          <w:rFonts w:hAnsi="宋体"/>
        </w:rPr>
        <w:t xml:space="preserve">        年化复利无风险利率</w:t>
      </w:r>
    </w:p>
    <w:bookmarkEnd w:id="96"/>
    <w:p>
      <w:pPr>
        <w:ind w:firstLine="420"/>
      </w:pPr>
      <w:r>
        <w:t xml:space="preserve">T – t   </w:t>
      </w:r>
      <w:r>
        <w:tab/>
      </w:r>
      <w:r>
        <w:tab/>
      </w:r>
      <w:r>
        <w:rPr>
          <w:rFonts w:hAnsi="宋体"/>
        </w:rPr>
        <w:t>到期时间（年为单位）</w:t>
      </w:r>
    </w:p>
    <w:p>
      <w:pPr>
        <w:ind w:firstLine="420"/>
      </w:pPr>
      <w:bookmarkStart w:id="97" w:name="_Hlk119507998"/>
      <w:r>
        <w:rPr>
          <w:position w:val="-12"/>
          <w:szCs w:val="21"/>
        </w:rPr>
        <w:object>
          <v:shape id="_x0000_i1354" o:spt="75" type="#_x0000_t75" style="height:18.9pt;width:13.3pt;" o:ole="t" filled="f" o:preferrelative="t" stroked="f" coordsize="21600,21600">
            <v:path/>
            <v:fill on="f" focussize="0,0"/>
            <v:stroke on="f" joinstyle="miter"/>
            <v:imagedata r:id="rId661" o:title=""/>
            <o:lock v:ext="edit" aspectratio="t"/>
            <w10:wrap type="none"/>
            <w10:anchorlock/>
          </v:shape>
          <o:OLEObject Type="Embed" ProgID="Equation.3" ShapeID="_x0000_i1354" DrawAspect="Content" ObjectID="_1468076054" r:id="rId660">
            <o:LockedField>false</o:LockedField>
          </o:OLEObject>
        </w:object>
      </w:r>
      <w:r>
        <w:t xml:space="preserve">  </w:t>
      </w:r>
      <w:r>
        <w:tab/>
      </w:r>
      <w:r>
        <w:tab/>
      </w:r>
      <w:r>
        <w:t xml:space="preserve">        t</w:t>
      </w:r>
      <w:r>
        <w:rPr>
          <w:rFonts w:hAnsi="宋体"/>
        </w:rPr>
        <w:t>时刻的指数现货价格</w:t>
      </w:r>
    </w:p>
    <w:bookmarkEnd w:id="97"/>
    <w:p>
      <w:pPr>
        <w:ind w:firstLine="420"/>
      </w:pPr>
      <w:r>
        <w:t xml:space="preserve">y    </w:t>
      </w:r>
      <w:r>
        <w:tab/>
      </w:r>
      <w:r>
        <w:tab/>
      </w:r>
      <w:r>
        <w:t xml:space="preserve">       </w:t>
      </w:r>
      <w:r>
        <w:rPr>
          <w:rFonts w:hAnsi="宋体"/>
        </w:rPr>
        <w:t>年化复利</w:t>
      </w:r>
      <w:r>
        <w:rPr>
          <w:rFonts w:hint="eastAsia" w:hAnsi="宋体"/>
        </w:rPr>
        <w:t>股利</w:t>
      </w:r>
      <w:r>
        <w:rPr>
          <w:rFonts w:hAnsi="宋体"/>
        </w:rPr>
        <w:t>收益率</w:t>
      </w:r>
    </w:p>
    <w:p>
      <w:pPr>
        <w:ind w:firstLine="420"/>
      </w:pPr>
      <w:bookmarkStart w:id="98" w:name="_Hlk119508106"/>
      <w:r>
        <w:t xml:space="preserve">σ    </w:t>
      </w:r>
      <w:r>
        <w:tab/>
      </w:r>
      <w:r>
        <w:tab/>
      </w:r>
      <w:r>
        <w:t xml:space="preserve">       </w:t>
      </w:r>
      <w:r>
        <w:rPr>
          <w:rFonts w:hAnsi="宋体"/>
        </w:rPr>
        <w:t>指数年化回报率波动率</w:t>
      </w:r>
      <w:bookmarkEnd w:id="98"/>
    </w:p>
    <w:p>
      <w:pPr>
        <w:pStyle w:val="6"/>
        <w:ind w:firstLine="420" w:firstLineChars="200"/>
        <w:rPr>
          <w:b w:val="0"/>
          <w:bCs w:val="0"/>
        </w:rPr>
      </w:pPr>
      <w:r>
        <w:rPr>
          <w:b w:val="0"/>
          <w:bCs w:val="0"/>
        </w:rPr>
        <w:t>N</w:t>
      </w:r>
      <w:r>
        <w:rPr>
          <w:rFonts w:hAnsi="宋体"/>
          <w:b w:val="0"/>
          <w:bCs w:val="0"/>
        </w:rPr>
        <w:t>（</w:t>
      </w:r>
      <w:r>
        <w:rPr>
          <w:rFonts w:hint="eastAsia" w:hAnsi="宋体"/>
          <w:b w:val="0"/>
          <w:bCs w:val="0"/>
        </w:rPr>
        <w:t>﹒</w:t>
      </w:r>
      <w:r>
        <w:rPr>
          <w:rFonts w:hAnsi="宋体"/>
          <w:b w:val="0"/>
          <w:bCs w:val="0"/>
        </w:rPr>
        <w:t>）</w:t>
      </w:r>
      <w:r>
        <w:rPr>
          <w:rFonts w:hint="eastAsia" w:hAnsi="宋体"/>
          <w:b w:val="0"/>
          <w:bCs w:val="0"/>
        </w:rPr>
        <w:t xml:space="preserve">  </w:t>
      </w:r>
      <w:r>
        <w:rPr>
          <w:rFonts w:hAnsi="宋体"/>
          <w:b w:val="0"/>
          <w:bCs w:val="0"/>
        </w:rPr>
        <w:tab/>
      </w:r>
      <w:r>
        <w:rPr>
          <w:rFonts w:hAnsi="宋体"/>
          <w:b w:val="0"/>
          <w:bCs w:val="0"/>
        </w:rPr>
        <w:t>累计正态分布函数</w:t>
      </w:r>
    </w:p>
    <w:p>
      <w:pPr>
        <w:pStyle w:val="6"/>
      </w:pPr>
      <w:r>
        <w:rPr>
          <w:rFonts w:hint="eastAsia"/>
        </w:rPr>
        <w:t>支付连续股利收益率y的指数的欧式卖出期权的德尔塔系数</w:t>
      </w:r>
    </w:p>
    <w:p>
      <w:pPr>
        <w:jc w:val="center"/>
      </w:pPr>
    </w:p>
    <w:p>
      <w:pPr>
        <w:jc w:val="center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 w:val="24"/>
              </w:rPr>
              <m:t>Δ</m:t>
            </m: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e>
          <m:sub>
            <m:r>
              <m:rPr/>
              <w:rPr>
                <w:rFonts w:hint="eastAsia" w:ascii="Cambria Math" w:hAnsi="Cambria Math"/>
                <w:color w:val="000000"/>
                <w:sz w:val="24"/>
              </w:rPr>
              <m:t>P</m:t>
            </m: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sub>
        </m:sSub>
      </m:oMath>
      <w:r>
        <w:rPr>
          <w:color w:val="000000"/>
          <w:sz w:val="24"/>
        </w:rPr>
        <w:t xml:space="preserve"> = </w:t>
      </w:r>
      <m:oMath>
        <m:sSup>
          <w:bookmarkStart w:id="99" w:name="_Hlk119507639"/>
          <m:sSupP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sSupPr>
          <m:e>
            <m:r>
              <m:rPr/>
              <w:rPr>
                <w:rFonts w:ascii="Cambria Math" w:hAnsi="Cambria Math"/>
                <w:color w:val="000000"/>
                <w:sz w:val="24"/>
              </w:rPr>
              <m:t>e</m:t>
            </m: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 xml:space="preserve"> −y·(T−t)</m:t>
            </m:r>
            <w:bookmarkEnd w:id="99"/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sup>
        </m:sSup>
      </m:oMath>
      <w:r>
        <w:rPr>
          <w:color w:val="000000"/>
          <w:sz w:val="24"/>
        </w:rPr>
        <w:t xml:space="preserve"> · −N(−d1) =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sSupPr>
          <m:e>
            <m:r>
              <m:rPr/>
              <w:rPr>
                <w:rFonts w:ascii="Cambria Math" w:hAnsi="Cambria Math"/>
                <w:color w:val="000000"/>
                <w:sz w:val="24"/>
              </w:rPr>
              <m:t>e</m:t>
            </m: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 xml:space="preserve"> −y·(T−t)</m:t>
            </m: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sup>
        </m:sSup>
      </m:oMath>
      <w:r>
        <w:rPr>
          <w:color w:val="000000"/>
          <w:sz w:val="24"/>
        </w:rPr>
        <w:t xml:space="preserve">  · [N(d1)−1]</w:t>
      </w:r>
    </w:p>
    <w:p>
      <w:pPr>
        <w:jc w:val="center"/>
        <w:rPr>
          <w:szCs w:val="21"/>
        </w:rPr>
      </w:pPr>
      <w:r>
        <w:rPr>
          <w:position w:val="-28"/>
        </w:rPr>
        <w:object>
          <v:shape id="_x0000_i1355" o:spt="75" type="#_x0000_t75" style="height:50.05pt;width:211.4pt;" o:ole="t" filled="f" o:preferrelative="t" stroked="f" coordsize="21600,21600">
            <v:path/>
            <v:fill on="f" focussize="0,0"/>
            <v:stroke on="f" joinstyle="miter"/>
            <v:imagedata r:id="rId655" o:title=""/>
            <o:lock v:ext="edit" aspectratio="t"/>
            <w10:wrap type="none"/>
            <w10:anchorlock/>
          </v:shape>
          <o:OLEObject Type="Embed" ProgID="Equation.3" ShapeID="_x0000_i1355" DrawAspect="Content" ObjectID="_1468076055" r:id="rId662">
            <o:LockedField>false</o:LockedField>
          </o:OLEObject>
        </w:object>
      </w:r>
    </w:p>
    <w:p>
      <w:pPr>
        <w:rPr>
          <w:szCs w:val="21"/>
        </w:rPr>
      </w:pPr>
      <w:r>
        <w:rPr>
          <w:rFonts w:hint="eastAsia"/>
          <w:szCs w:val="21"/>
        </w:rPr>
        <w:t>此处</w:t>
      </w:r>
    </w:p>
    <w:p>
      <w:pPr>
        <w:ind w:firstLine="405"/>
        <w:rPr>
          <w:szCs w:val="21"/>
        </w:rPr>
      </w:pPr>
      <w:bookmarkStart w:id="100" w:name="_Hlk119509596"/>
      <w:r>
        <w:rPr>
          <w:szCs w:val="21"/>
          <w:vertAlign w:val="subscript"/>
        </w:rPr>
        <w:drawing>
          <wp:inline distT="0" distB="0" distL="0" distR="0">
            <wp:extent cx="200025" cy="133350"/>
            <wp:effectExtent l="0" t="0" r="0" b="0"/>
            <wp:docPr id="9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4"/>
                    <pic:cNvPicPr>
                      <a:picLocks noChangeAspect="1" noChangeArrowheads="1"/>
                    </pic:cNvPicPr>
                  </pic:nvPicPr>
                  <pic:blipFill>
                    <a:blip r:embed="rId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卖出期权的德尔塔</w:t>
      </w:r>
    </w:p>
    <w:p>
      <w:pPr>
        <w:ind w:left="405" w:firstLine="30"/>
        <w:rPr>
          <w:szCs w:val="21"/>
        </w:rPr>
      </w:pPr>
      <w:r>
        <w:t xml:space="preserve">y    </w:t>
      </w:r>
      <w:r>
        <w:tab/>
      </w:r>
      <w:r>
        <w:tab/>
      </w:r>
      <w:r>
        <w:rPr>
          <w:rFonts w:hAnsi="宋体"/>
        </w:rPr>
        <w:t>年化复利</w:t>
      </w:r>
      <w:r>
        <w:rPr>
          <w:rFonts w:hint="eastAsia" w:hAnsi="宋体"/>
        </w:rPr>
        <w:t>股利</w:t>
      </w:r>
      <w:r>
        <w:rPr>
          <w:rFonts w:hAnsi="宋体"/>
        </w:rPr>
        <w:t>收益率</w:t>
      </w:r>
    </w:p>
    <w:p>
      <w:pPr>
        <w:ind w:firstLine="435"/>
        <w:rPr>
          <w:rFonts w:hAnsi="宋体"/>
        </w:rPr>
      </w:pPr>
      <w:r>
        <w:t xml:space="preserve">T – t    </w:t>
      </w:r>
      <w:r>
        <w:tab/>
      </w:r>
      <w:r>
        <w:tab/>
      </w:r>
      <w:r>
        <w:rPr>
          <w:rFonts w:hAnsi="宋体"/>
        </w:rPr>
        <w:t>到期时间（年为单位）</w:t>
      </w:r>
    </w:p>
    <w:p>
      <w:pPr>
        <w:ind w:firstLine="420"/>
        <w:rPr>
          <w:rFonts w:hAnsi="宋体"/>
        </w:rPr>
      </w:pPr>
      <w:r>
        <w:t>N</w:t>
      </w:r>
      <w:r>
        <w:rPr>
          <w:rFonts w:hAnsi="宋体"/>
        </w:rPr>
        <w:t>（</w:t>
      </w:r>
      <w:r>
        <w:rPr>
          <w:rFonts w:hint="eastAsia" w:hAnsi="宋体"/>
        </w:rPr>
        <w:t>﹒</w:t>
      </w:r>
      <w:r>
        <w:rPr>
          <w:rFonts w:hAnsi="宋体"/>
        </w:rPr>
        <w:t>）</w:t>
      </w:r>
      <w:r>
        <w:rPr>
          <w:rFonts w:hAnsi="宋体"/>
        </w:rPr>
        <w:tab/>
      </w:r>
      <w:r>
        <w:rPr>
          <w:rFonts w:hAnsi="宋体"/>
        </w:rPr>
        <w:tab/>
      </w:r>
      <w:r>
        <w:rPr>
          <w:rFonts w:hAnsi="宋体"/>
        </w:rPr>
        <w:t>累计正态分布函数</w:t>
      </w:r>
    </w:p>
    <w:bookmarkEnd w:id="100"/>
    <w:p>
      <w:pPr>
        <w:ind w:firstLine="420"/>
      </w:pPr>
      <w:bookmarkStart w:id="101" w:name="_Hlk119508997"/>
      <w:r>
        <w:rPr>
          <w:position w:val="-12"/>
          <w:szCs w:val="21"/>
        </w:rPr>
        <w:object>
          <v:shape id="_x0000_i1356" o:spt="75" type="#_x0000_t75" style="height:18.9pt;width:13.3pt;" o:ole="t" filled="f" o:preferrelative="t" stroked="f" coordsize="21600,21600">
            <v:path/>
            <v:fill on="f" focussize="0,0"/>
            <v:stroke on="f" joinstyle="miter"/>
            <v:imagedata r:id="rId661" o:title=""/>
            <o:lock v:ext="edit" aspectratio="t"/>
            <w10:wrap type="none"/>
            <w10:anchorlock/>
          </v:shape>
          <o:OLEObject Type="Embed" ProgID="Equation.3" ShapeID="_x0000_i1356" DrawAspect="Content" ObjectID="_1468076056" r:id="rId664">
            <o:LockedField>false</o:LockedField>
          </o:OLEObject>
        </w:object>
      </w:r>
      <w:r>
        <w:t xml:space="preserve">  </w:t>
      </w:r>
      <w:r>
        <w:tab/>
      </w:r>
      <w:r>
        <w:tab/>
      </w:r>
      <w:r>
        <w:t xml:space="preserve">        t</w:t>
      </w:r>
      <w:r>
        <w:rPr>
          <w:rFonts w:hAnsi="宋体"/>
        </w:rPr>
        <w:t>时刻的指数现货价格</w:t>
      </w:r>
    </w:p>
    <w:p>
      <w:pPr>
        <w:ind w:firstLine="420"/>
      </w:pPr>
      <w:r>
        <w:t xml:space="preserve">K    </w:t>
      </w:r>
      <w:r>
        <w:tab/>
      </w:r>
      <w:r>
        <w:tab/>
      </w:r>
      <w:r>
        <w:t xml:space="preserve">        </w:t>
      </w:r>
      <w:r>
        <w:rPr>
          <w:rFonts w:hAnsi="宋体"/>
        </w:rPr>
        <w:t>行权价格</w:t>
      </w:r>
    </w:p>
    <w:p>
      <w:pPr>
        <w:ind w:firstLine="420"/>
      </w:pPr>
      <w:r>
        <w:rPr>
          <w:position w:val="-14"/>
        </w:rPr>
        <w:object>
          <v:shape id="_x0000_i1357" o:spt="75" type="#_x0000_t75" style="height:18.9pt;width:12.25pt;" o:ole="t" filled="f" o:preferrelative="t" stroked="f" coordsize="21600,21600">
            <v:path/>
            <v:fill on="f" focussize="0,0"/>
            <v:stroke on="f" joinstyle="miter"/>
            <v:imagedata r:id="rId659" o:title=""/>
            <o:lock v:ext="edit" aspectratio="t"/>
            <w10:wrap type="none"/>
            <w10:anchorlock/>
          </v:shape>
          <o:OLEObject Type="Embed" ProgID="Equation.DSMT4" ShapeID="_x0000_i1357" DrawAspect="Content" ObjectID="_1468076057" r:id="rId665">
            <o:LockedField>false</o:LockedField>
          </o:OLEObject>
        </w:object>
      </w:r>
      <w:r>
        <w:rPr>
          <w:rFonts w:hint="eastAsia" w:hAnsi="宋体"/>
        </w:rPr>
        <w:t xml:space="preserve">   </w:t>
      </w:r>
      <w:r>
        <w:rPr>
          <w:rFonts w:hAnsi="宋体"/>
        </w:rPr>
        <w:tab/>
      </w:r>
      <w:r>
        <w:rPr>
          <w:rFonts w:hAnsi="宋体"/>
        </w:rPr>
        <w:tab/>
      </w:r>
      <w:r>
        <w:rPr>
          <w:rFonts w:hAnsi="宋体"/>
        </w:rPr>
        <w:t xml:space="preserve">        年化复利无风险利率</w:t>
      </w:r>
    </w:p>
    <w:p>
      <w:pPr>
        <w:ind w:firstLine="420"/>
        <w:rPr>
          <w:rFonts w:hAnsi="宋体"/>
        </w:rPr>
      </w:pPr>
      <w:r>
        <w:t xml:space="preserve">σ    </w:t>
      </w:r>
      <w:r>
        <w:tab/>
      </w:r>
      <w:r>
        <w:tab/>
      </w:r>
      <w:r>
        <w:t xml:space="preserve">       </w:t>
      </w:r>
      <w:r>
        <w:rPr>
          <w:rFonts w:hAnsi="宋体"/>
        </w:rPr>
        <w:t>指数年化回报率波动率</w:t>
      </w:r>
      <w:bookmarkEnd w:id="101"/>
    </w:p>
    <w:p>
      <w:pPr>
        <w:ind w:firstLine="420"/>
        <w:rPr>
          <w:rFonts w:hAnsi="宋体"/>
        </w:rPr>
      </w:pPr>
    </w:p>
    <w:p>
      <w:pPr>
        <w:pStyle w:val="6"/>
      </w:pPr>
    </w:p>
    <w:p>
      <w:pPr>
        <w:rPr>
          <w:b/>
          <w:bCs/>
        </w:rPr>
      </w:pPr>
      <w:r>
        <w:rPr>
          <w:rFonts w:hint="eastAsia"/>
          <w:b/>
          <w:bCs/>
        </w:rPr>
        <w:t>动态组合保险的对冲比率</w:t>
      </w:r>
    </w:p>
    <w:p>
      <w:pPr>
        <w:jc w:val="center"/>
        <w:rPr>
          <w:b/>
          <w:bCs/>
        </w:rPr>
      </w:pPr>
      <w:r>
        <w:drawing>
          <wp:inline distT="0" distB="0" distL="0" distR="0">
            <wp:extent cx="2844800" cy="10160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66"/>
                    <a:stretch>
                      <a:fillRect/>
                    </a:stretch>
                  </pic:blipFill>
                  <pic:spPr>
                    <a:xfrm>
                      <a:off x="0" y="0"/>
                      <a:ext cx="2845053" cy="101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rPr>
          <w:b w:val="0"/>
          <w:bCs w:val="0"/>
        </w:rPr>
      </w:pPr>
      <w:r>
        <w:rPr>
          <w:rFonts w:hint="eastAsia"/>
          <w:b w:val="0"/>
          <w:bCs w:val="0"/>
        </w:rPr>
        <w:t>此处:</w:t>
      </w:r>
    </w:p>
    <w:p>
      <w:pPr>
        <w:pStyle w:val="6"/>
        <w:rPr>
          <w:b w:val="0"/>
          <w:bCs w:val="0"/>
        </w:rPr>
      </w:pPr>
      <w:r>
        <w:t xml:space="preserve">    </w:t>
      </w:r>
      <w:r>
        <w:rPr>
          <w:b w:val="0"/>
          <w:bCs w:val="0"/>
        </w:rPr>
        <w:t xml:space="preserve">     </w:t>
      </w:r>
      <w:r>
        <w:rPr>
          <w:rFonts w:hint="eastAsia"/>
          <w:b w:val="0"/>
          <w:bCs w:val="0"/>
        </w:rPr>
        <w:t>HR</w:t>
      </w:r>
      <w:r>
        <w:rPr>
          <w:b w:val="0"/>
          <w:bCs w:val="0"/>
        </w:rPr>
        <w:t xml:space="preserve">                  </w:t>
      </w:r>
      <w:r>
        <w:rPr>
          <w:rFonts w:hint="eastAsia"/>
          <w:b w:val="0"/>
          <w:bCs w:val="0"/>
        </w:rPr>
        <w:t>对冲比率</w:t>
      </w:r>
    </w:p>
    <w:p>
      <w:pPr>
        <w:ind w:firstLine="405"/>
        <w:rPr>
          <w:szCs w:val="21"/>
        </w:rPr>
      </w:pPr>
      <w:r>
        <w:rPr>
          <w:szCs w:val="21"/>
          <w:vertAlign w:val="subscript"/>
        </w:rPr>
        <w:drawing>
          <wp:inline distT="0" distB="0" distL="0" distR="0">
            <wp:extent cx="200025" cy="133350"/>
            <wp:effectExtent l="0" t="0" r="0" b="0"/>
            <wp:docPr id="11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4"/>
                    <pic:cNvPicPr>
                      <a:picLocks noChangeAspect="1" noChangeArrowheads="1"/>
                    </pic:cNvPicPr>
                  </pic:nvPicPr>
                  <pic:blipFill>
                    <a:blip r:embed="rId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>卖出期权的德尔塔</w:t>
      </w:r>
    </w:p>
    <w:p>
      <w:pPr>
        <w:ind w:left="405" w:firstLine="30"/>
        <w:rPr>
          <w:szCs w:val="21"/>
        </w:rPr>
      </w:pPr>
      <w:r>
        <w:t xml:space="preserve">y    </w:t>
      </w:r>
      <w:r>
        <w:tab/>
      </w:r>
      <w:r>
        <w:tab/>
      </w:r>
      <w:r>
        <w:t xml:space="preserve">        </w:t>
      </w:r>
      <w:bookmarkStart w:id="102" w:name="_Hlk119510138"/>
      <w:r>
        <w:rPr>
          <w:rFonts w:hAnsi="宋体"/>
        </w:rPr>
        <w:t>年化复利</w:t>
      </w:r>
      <w:r>
        <w:rPr>
          <w:rFonts w:hint="eastAsia" w:hAnsi="宋体"/>
        </w:rPr>
        <w:t>股利</w:t>
      </w:r>
      <w:r>
        <w:rPr>
          <w:rFonts w:hAnsi="宋体"/>
        </w:rPr>
        <w:t>收益率</w:t>
      </w:r>
      <w:bookmarkEnd w:id="102"/>
    </w:p>
    <w:p>
      <w:pPr>
        <w:ind w:firstLine="435"/>
        <w:rPr>
          <w:rFonts w:hAnsi="宋体"/>
        </w:rPr>
      </w:pPr>
      <w:r>
        <w:t xml:space="preserve">T – t    </w:t>
      </w:r>
      <w:r>
        <w:tab/>
      </w:r>
      <w:r>
        <w:tab/>
      </w:r>
      <w:r>
        <w:rPr>
          <w:rFonts w:hAnsi="宋体"/>
        </w:rPr>
        <w:t>到期时间（年为单位）</w:t>
      </w:r>
    </w:p>
    <w:p>
      <w:pPr>
        <w:ind w:firstLine="420"/>
        <w:rPr>
          <w:rFonts w:hAnsi="宋体"/>
        </w:rPr>
      </w:pPr>
      <w:r>
        <w:t>N</w:t>
      </w:r>
      <w:r>
        <w:rPr>
          <w:rFonts w:hAnsi="宋体"/>
        </w:rPr>
        <w:t>（</w:t>
      </w:r>
      <w:r>
        <w:rPr>
          <w:rFonts w:hint="eastAsia" w:hAnsi="宋体"/>
        </w:rPr>
        <w:t>﹒</w:t>
      </w:r>
      <w:r>
        <w:rPr>
          <w:rFonts w:hAnsi="宋体"/>
        </w:rPr>
        <w:t>）</w:t>
      </w:r>
      <w:r>
        <w:rPr>
          <w:rFonts w:hAnsi="宋体"/>
        </w:rPr>
        <w:tab/>
      </w:r>
      <w:r>
        <w:rPr>
          <w:rFonts w:hAnsi="宋体"/>
        </w:rPr>
        <w:tab/>
      </w:r>
      <w:r>
        <w:rPr>
          <w:rFonts w:hAnsi="宋体"/>
        </w:rPr>
        <w:t>累计正态分布函数</w:t>
      </w:r>
    </w:p>
    <w:p>
      <w:pPr>
        <w:ind w:firstLine="420"/>
      </w:pPr>
      <w:r>
        <w:rPr>
          <w:position w:val="-12"/>
          <w:szCs w:val="21"/>
        </w:rPr>
        <w:object>
          <v:shape id="_x0000_i1358" o:spt="75" type="#_x0000_t75" style="height:18.9pt;width:13.3pt;" o:ole="t" filled="f" o:preferrelative="t" stroked="f" coordsize="21600,21600">
            <v:path/>
            <v:fill on="f" focussize="0,0"/>
            <v:stroke on="f" joinstyle="miter"/>
            <v:imagedata r:id="rId661" o:title=""/>
            <o:lock v:ext="edit" aspectratio="t"/>
            <w10:wrap type="none"/>
            <w10:anchorlock/>
          </v:shape>
          <o:OLEObject Type="Embed" ProgID="Equation.3" ShapeID="_x0000_i1358" DrawAspect="Content" ObjectID="_1468076058" r:id="rId667">
            <o:LockedField>false</o:LockedField>
          </o:OLEObject>
        </w:object>
      </w:r>
      <w:r>
        <w:t xml:space="preserve">  </w:t>
      </w:r>
      <w:r>
        <w:tab/>
      </w:r>
      <w:r>
        <w:tab/>
      </w:r>
      <w:r>
        <w:t xml:space="preserve">        t</w:t>
      </w:r>
      <w:r>
        <w:rPr>
          <w:rFonts w:hAnsi="宋体"/>
        </w:rPr>
        <w:t>时刻的指数现货价格</w:t>
      </w:r>
    </w:p>
    <w:p>
      <w:pPr>
        <w:ind w:firstLine="420"/>
      </w:pPr>
      <w:r>
        <w:t xml:space="preserve">K    </w:t>
      </w:r>
      <w:r>
        <w:tab/>
      </w:r>
      <w:r>
        <w:tab/>
      </w:r>
      <w:r>
        <w:t xml:space="preserve">        </w:t>
      </w:r>
      <w:r>
        <w:rPr>
          <w:rFonts w:hAnsi="宋体"/>
        </w:rPr>
        <w:t>行权价格</w:t>
      </w:r>
    </w:p>
    <w:p>
      <w:pPr>
        <w:ind w:firstLine="420"/>
        <w:rPr>
          <w:rFonts w:hAnsi="宋体"/>
        </w:rPr>
      </w:pPr>
      <w:r>
        <w:rPr>
          <w:position w:val="-14"/>
        </w:rPr>
        <w:object>
          <v:shape id="_x0000_i1359" o:spt="75" type="#_x0000_t75" style="height:18.9pt;width:12.25pt;" o:ole="t" filled="f" o:preferrelative="t" stroked="f" coordsize="21600,21600">
            <v:path/>
            <v:fill on="f" focussize="0,0"/>
            <v:stroke on="f" joinstyle="miter"/>
            <v:imagedata r:id="rId659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668">
            <o:LockedField>false</o:LockedField>
          </o:OLEObject>
        </w:object>
      </w:r>
      <w:r>
        <w:rPr>
          <w:rFonts w:hint="eastAsia" w:hAnsi="宋体"/>
        </w:rPr>
        <w:t xml:space="preserve">   </w:t>
      </w:r>
      <w:r>
        <w:rPr>
          <w:rFonts w:hAnsi="宋体"/>
        </w:rPr>
        <w:tab/>
      </w:r>
      <w:r>
        <w:rPr>
          <w:rFonts w:hAnsi="宋体"/>
        </w:rPr>
        <w:tab/>
      </w:r>
      <w:r>
        <w:rPr>
          <w:rFonts w:hAnsi="宋体"/>
        </w:rPr>
        <w:t xml:space="preserve">        </w:t>
      </w:r>
      <w:bookmarkStart w:id="103" w:name="_Hlk119510248"/>
      <w:r>
        <w:rPr>
          <w:rFonts w:hAnsi="宋体"/>
        </w:rPr>
        <w:t>年化复利无风险利率</w:t>
      </w:r>
      <w:bookmarkEnd w:id="103"/>
    </w:p>
    <w:p>
      <w:pPr>
        <w:ind w:firstLine="420"/>
      </w:pPr>
      <w:r>
        <w:t xml:space="preserve">σ    </w:t>
      </w:r>
      <w:r>
        <w:tab/>
      </w:r>
      <w:r>
        <w:tab/>
      </w:r>
      <w:r>
        <w:t xml:space="preserve">       </w:t>
      </w:r>
      <w:r>
        <w:rPr>
          <w:rFonts w:hAnsi="宋体"/>
        </w:rPr>
        <w:t>指数年化回报率波动率</w:t>
      </w:r>
    </w:p>
    <w:p>
      <w:pPr>
        <w:pStyle w:val="6"/>
      </w:pPr>
    </w:p>
    <w:p>
      <w:pPr>
        <w:pStyle w:val="6"/>
      </w:pPr>
      <w:r>
        <w:rPr>
          <w:rFonts w:hint="eastAsia"/>
        </w:rPr>
        <w:t>动态组合保险的期货数目</w:t>
      </w:r>
    </w:p>
    <w:p/>
    <w:p>
      <w:pPr>
        <w:pStyle w:val="6"/>
        <w:jc w:val="center"/>
      </w:pPr>
      <w:r>
        <w:drawing>
          <wp:inline distT="0" distB="0" distL="0" distR="0">
            <wp:extent cx="3467100" cy="11811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69"/>
                    <a:stretch>
                      <a:fillRect/>
                    </a:stretch>
                  </pic:blipFill>
                  <pic:spPr>
                    <a:xfrm>
                      <a:off x="0" y="0"/>
                      <a:ext cx="3467374" cy="118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</w:pPr>
    </w:p>
    <w:p>
      <w:pPr>
        <w:pStyle w:val="6"/>
        <w:rPr>
          <w:b w:val="0"/>
          <w:bCs w:val="0"/>
        </w:rPr>
      </w:pPr>
      <w:r>
        <w:rPr>
          <w:rFonts w:hint="eastAsia"/>
          <w:b w:val="0"/>
          <w:bCs w:val="0"/>
        </w:rPr>
        <w:t>此处：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eastAsia" w:ascii="Cambria Math" w:hAnsi="Cambria Math"/>
              </w:rPr>
              <m:t>N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      </w:t>
      </w:r>
      <w:r>
        <w:rPr>
          <w:rFonts w:hint="eastAsia"/>
        </w:rPr>
        <w:t>期货数目</w:t>
      </w:r>
    </w:p>
    <w:p>
      <w:r>
        <w:t xml:space="preserve">y                </w:t>
      </w:r>
      <w:r>
        <w:rPr>
          <w:rFonts w:hint="eastAsia"/>
        </w:rPr>
        <w:t>年化复利股利收益率</w:t>
      </w:r>
    </w:p>
    <w:p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∗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 xml:space="preserve">              </w:t>
      </w:r>
      <w:r>
        <w:rPr>
          <w:rFonts w:hint="eastAsia"/>
        </w:rPr>
        <w:t>期货合约的期限</w:t>
      </w:r>
    </w:p>
    <w:p>
      <w:r>
        <w:t xml:space="preserve">T                </w:t>
      </w:r>
      <w:r>
        <w:rPr>
          <w:rFonts w:hint="eastAsia"/>
        </w:rPr>
        <w:t>期权的期限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        </w:t>
      </w:r>
      <w:r>
        <w:rPr>
          <w:rFonts w:hint="eastAsia"/>
        </w:rPr>
        <w:t>年化复利无风险利率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k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       </w:t>
      </w:r>
      <w:r>
        <w:rPr>
          <w:rFonts w:hint="eastAsia"/>
        </w:rPr>
        <w:t>风险资产的单位数目</w:t>
      </w:r>
    </w:p>
    <w:p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k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t xml:space="preserve">              </w:t>
      </w:r>
      <w:r>
        <w:rPr>
          <w:rFonts w:hint="eastAsia"/>
        </w:rPr>
        <w:t>期货合约的规模</w:t>
      </w:r>
    </w:p>
    <w:p>
      <w:r>
        <w:t xml:space="preserve">N(·)           </w:t>
      </w:r>
      <w:r>
        <w:rPr>
          <w:rFonts w:hint="eastAsia"/>
        </w:rPr>
        <w:t>累计正态分布函数</w:t>
      </w:r>
      <w:r>
        <w:cr/>
      </w:r>
    </w:p>
    <w:p/>
    <w:p>
      <w:pPr>
        <w:pStyle w:val="4"/>
        <w:rPr>
          <w:szCs w:val="24"/>
          <w:lang w:eastAsia="zh-CN"/>
        </w:rPr>
      </w:pPr>
      <w:bookmarkStart w:id="104" w:name="_Toc6124"/>
      <w:r>
        <w:rPr>
          <w:szCs w:val="24"/>
          <w:lang w:eastAsia="zh-CN"/>
        </w:rPr>
        <w:t xml:space="preserve">4.5       </w:t>
      </w:r>
      <w:r>
        <w:rPr>
          <w:rFonts w:hint="eastAsia"/>
          <w:szCs w:val="24"/>
          <w:lang w:eastAsia="zh-CN"/>
        </w:rPr>
        <w:t>恒定比例组合保险（CPP）</w:t>
      </w:r>
      <w:bookmarkEnd w:id="104"/>
    </w:p>
    <w:p>
      <w:pPr>
        <w:pStyle w:val="6"/>
      </w:pPr>
      <w:r>
        <w:rPr>
          <w:rFonts w:hint="eastAsia"/>
        </w:rPr>
        <w:t>保险垫</w:t>
      </w:r>
    </w:p>
    <w:p>
      <w:pPr>
        <w:jc w:val="center"/>
        <w:rPr>
          <w:rFonts w:hAnsi="宋体"/>
        </w:rPr>
      </w:pPr>
      <w:r>
        <w:rPr>
          <w:i/>
          <w:iCs/>
        </w:rPr>
        <w:t>c</w:t>
      </w:r>
      <w:r>
        <w:rPr>
          <w:i/>
          <w:iCs/>
          <w:vertAlign w:val="subscript"/>
        </w:rPr>
        <w:t>t</w:t>
      </w:r>
      <w:r>
        <w:rPr>
          <w:i/>
          <w:iCs/>
        </w:rPr>
        <w:t xml:space="preserve"> = V</w:t>
      </w:r>
      <w:r>
        <w:rPr>
          <w:i/>
          <w:iCs/>
          <w:vertAlign w:val="subscript"/>
        </w:rPr>
        <w:t>t</w:t>
      </w:r>
      <w:r>
        <w:rPr>
          <w:i/>
          <w:iCs/>
        </w:rPr>
        <w:t xml:space="preserve"> –</w:t>
      </w:r>
      <w:r>
        <w:rPr>
          <w:i/>
          <w:iCs/>
        </w:rPr>
        <w:sym w:font="Symbol" w:char="F066"/>
      </w:r>
      <w:r>
        <w:rPr>
          <w:i/>
          <w:iCs/>
          <w:vertAlign w:val="subscript"/>
        </w:rPr>
        <w:t>t</w:t>
      </w:r>
    </w:p>
    <w:p>
      <w:pPr>
        <w:rPr>
          <w:rFonts w:hAnsi="宋体"/>
        </w:rPr>
      </w:pPr>
      <w:r>
        <w:rPr>
          <w:rFonts w:hint="eastAsia" w:hAnsi="宋体"/>
        </w:rPr>
        <w:t>此处</w:t>
      </w:r>
    </w:p>
    <w:p>
      <w:pPr>
        <w:ind w:firstLine="435"/>
        <w:rPr>
          <w:rFonts w:hAnsi="宋体"/>
        </w:rPr>
      </w:pPr>
      <w:r>
        <w:rPr>
          <w:position w:val="-12"/>
          <w:szCs w:val="21"/>
          <w:vertAlign w:val="subscript"/>
        </w:rPr>
        <w:object>
          <v:shape id="_x0000_i1360" o:spt="75" type="#_x0000_t75" style="height:18.9pt;width:13.3pt;" o:ole="t" filled="f" o:preferrelative="t" stroked="f" coordsize="21600,21600">
            <v:path/>
            <v:fill on="f" focussize="0,0"/>
            <v:stroke on="f" joinstyle="miter"/>
            <v:imagedata r:id="rId671" o:title=""/>
            <o:lock v:ext="edit" aspectratio="t"/>
            <w10:wrap type="none"/>
            <w10:anchorlock/>
          </v:shape>
          <o:OLEObject Type="Embed" ProgID="Equation.3" ShapeID="_x0000_i1360" DrawAspect="Content" ObjectID="_1468076060" r:id="rId670">
            <o:LockedField>false</o:LockedField>
          </o:OLEObject>
        </w:object>
      </w:r>
      <w:r>
        <w:rPr>
          <w:rFonts w:hAnsi="宋体"/>
        </w:rPr>
        <w:t xml:space="preserve">          </w:t>
      </w:r>
      <w:r>
        <w:rPr>
          <w:rFonts w:hint="eastAsia" w:hAnsi="宋体"/>
        </w:rPr>
        <w:t>t时刻的投资组合价值</w:t>
      </w:r>
    </w:p>
    <w:p>
      <w:pPr>
        <w:ind w:firstLine="435"/>
        <w:rPr>
          <w:rFonts w:hAnsi="宋体"/>
        </w:rPr>
      </w:pPr>
      <w:r>
        <w:rPr>
          <w:position w:val="-12"/>
          <w:szCs w:val="21"/>
          <w:vertAlign w:val="subscript"/>
        </w:rPr>
        <w:object>
          <v:shape id="_x0000_i1361" o:spt="75" type="#_x0000_t75" style="height:18.9pt;width:12.25pt;" o:ole="t" filled="f" o:preferrelative="t" stroked="f" coordsize="21600,21600">
            <v:path/>
            <v:fill on="f" focussize="0,0"/>
            <v:stroke on="f" joinstyle="miter"/>
            <v:imagedata r:id="rId673" o:title=""/>
            <o:lock v:ext="edit" aspectratio="t"/>
            <w10:wrap type="none"/>
            <w10:anchorlock/>
          </v:shape>
          <o:OLEObject Type="Embed" ProgID="Equation.3" ShapeID="_x0000_i1361" DrawAspect="Content" ObjectID="_1468076061" r:id="rId672">
            <o:LockedField>false</o:LockedField>
          </o:OLEObject>
        </w:object>
      </w:r>
      <w:r>
        <w:rPr>
          <w:position w:val="-12"/>
          <w:szCs w:val="21"/>
          <w:vertAlign w:val="subscript"/>
        </w:rPr>
        <w:tab/>
      </w:r>
      <w:r>
        <w:rPr>
          <w:position w:val="-12"/>
          <w:szCs w:val="21"/>
          <w:vertAlign w:val="subscript"/>
        </w:rPr>
        <w:t xml:space="preserve"> </w:t>
      </w:r>
      <w:r>
        <w:rPr>
          <w:rFonts w:hint="eastAsia" w:hAnsi="宋体"/>
        </w:rPr>
        <w:t xml:space="preserve"> </w:t>
      </w:r>
      <w:r>
        <w:rPr>
          <w:rFonts w:hAnsi="宋体"/>
        </w:rPr>
        <w:t xml:space="preserve">    </w:t>
      </w:r>
      <w:r>
        <w:rPr>
          <w:rFonts w:hint="eastAsia" w:hAnsi="宋体"/>
        </w:rPr>
        <w:t>下限</w:t>
      </w:r>
    </w:p>
    <w:p/>
    <w:p>
      <w:pPr>
        <w:pStyle w:val="6"/>
      </w:pPr>
      <w:r>
        <w:rPr>
          <w:rFonts w:hint="eastAsia"/>
        </w:rPr>
        <w:t>投资于风险资产的数目</w:t>
      </w:r>
    </w:p>
    <w:p>
      <w:pPr>
        <w:jc w:val="center"/>
        <w:rPr>
          <w:rFonts w:hAnsi="宋体"/>
        </w:rPr>
      </w:pPr>
      <w:r>
        <w:rPr>
          <w:i/>
          <w:iCs/>
        </w:rPr>
        <w:t>A</w:t>
      </w:r>
      <w:r>
        <w:rPr>
          <w:i/>
          <w:iCs/>
          <w:vertAlign w:val="subscript"/>
        </w:rPr>
        <w:t>t</w:t>
      </w:r>
      <w:r>
        <w:rPr>
          <w:i/>
          <w:iCs/>
        </w:rPr>
        <w:t>=N</w:t>
      </w:r>
      <w:r>
        <w:rPr>
          <w:i/>
          <w:iCs/>
          <w:vertAlign w:val="subscript"/>
        </w:rPr>
        <w:t>S,t</w:t>
      </w:r>
      <w:r>
        <w:rPr>
          <w:rFonts w:hint="eastAsia"/>
          <w:i/>
          <w:iCs/>
          <w:vertAlign w:val="subscript"/>
        </w:rPr>
        <w:t xml:space="preserve">  </w:t>
      </w:r>
      <w:r>
        <w:rPr>
          <w:rFonts w:hint="eastAsia"/>
          <w:i/>
          <w:iCs/>
        </w:rPr>
        <w:t xml:space="preserve">* </w:t>
      </w:r>
      <w:r>
        <w:rPr>
          <w:i/>
          <w:iCs/>
        </w:rPr>
        <w:t>S</w:t>
      </w:r>
      <w:r>
        <w:rPr>
          <w:i/>
          <w:iCs/>
          <w:vertAlign w:val="subscript"/>
        </w:rPr>
        <w:t>t</w:t>
      </w:r>
      <w:r>
        <w:rPr>
          <w:i/>
          <w:iCs/>
        </w:rPr>
        <w:t xml:space="preserve"> = m</w:t>
      </w:r>
      <w:r>
        <w:rPr>
          <w:rFonts w:hint="eastAsia"/>
          <w:i/>
          <w:iCs/>
        </w:rPr>
        <w:t xml:space="preserve"> * </w:t>
      </w:r>
      <w:r>
        <w:rPr>
          <w:i/>
          <w:iCs/>
        </w:rPr>
        <w:t>c</w:t>
      </w:r>
      <w:r>
        <w:rPr>
          <w:i/>
          <w:iCs/>
          <w:vertAlign w:val="subscript"/>
        </w:rPr>
        <w:t>t</w:t>
      </w:r>
    </w:p>
    <w:p>
      <w:pPr>
        <w:rPr>
          <w:rFonts w:hAnsi="宋体"/>
        </w:rPr>
      </w:pPr>
      <w:r>
        <w:rPr>
          <w:rFonts w:hint="eastAsia" w:hAnsi="宋体"/>
        </w:rPr>
        <w:t>此处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A</w:t>
      </w:r>
      <w:r>
        <w:rPr>
          <w:rFonts w:hint="eastAsia" w:hAnsi="宋体"/>
          <w:szCs w:val="21"/>
          <w:vertAlign w:val="subscript"/>
        </w:rPr>
        <w:t xml:space="preserve">t    </w:t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 xml:space="preserve"> </w:t>
      </w:r>
      <w:r>
        <w:rPr>
          <w:rFonts w:hAnsi="宋体"/>
        </w:rPr>
        <w:t xml:space="preserve">       </w:t>
      </w:r>
      <w:r>
        <w:rPr>
          <w:rFonts w:hint="eastAsia" w:hAnsi="宋体"/>
        </w:rPr>
        <w:t>t时刻投资于风险资产的总数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N</w:t>
      </w:r>
      <w:r>
        <w:rPr>
          <w:rFonts w:hint="eastAsia" w:hAnsi="宋体"/>
          <w:szCs w:val="21"/>
          <w:vertAlign w:val="subscript"/>
        </w:rPr>
        <w:t>S,t</w:t>
      </w:r>
      <w:r>
        <w:rPr>
          <w:rFonts w:hAnsi="宋体"/>
          <w:szCs w:val="21"/>
          <w:vertAlign w:val="subscript"/>
        </w:rPr>
        <w:tab/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风险资产单位数目</w:t>
      </w:r>
    </w:p>
    <w:p>
      <w:pPr>
        <w:ind w:firstLine="435"/>
        <w:rPr>
          <w:rFonts w:hAnsi="宋体"/>
        </w:rPr>
      </w:pPr>
      <w:r>
        <w:rPr>
          <w:position w:val="-12"/>
          <w:szCs w:val="21"/>
        </w:rPr>
        <w:object>
          <v:shape id="_x0000_i1362" o:spt="75" type="#_x0000_t75" style="height:18.9pt;width:13.3pt;" o:ole="t" filled="f" o:preferrelative="t" stroked="f" coordsize="21600,21600">
            <v:path/>
            <v:fill on="f" focussize="0,0"/>
            <v:stroke on="f" joinstyle="miter"/>
            <v:imagedata r:id="rId675" o:title=""/>
            <o:lock v:ext="edit" aspectratio="t"/>
            <w10:wrap type="none"/>
            <w10:anchorlock/>
          </v:shape>
          <o:OLEObject Type="Embed" ProgID="Equation.3" ShapeID="_x0000_i1362" DrawAspect="Content" ObjectID="_1468076062" r:id="rId674">
            <o:LockedField>false</o:LockedField>
          </o:OLEObject>
        </w:object>
      </w:r>
      <w:r>
        <w:rPr>
          <w:position w:val="-12"/>
          <w:szCs w:val="21"/>
        </w:rPr>
        <w:tab/>
      </w:r>
      <w:r>
        <w:rPr>
          <w:position w:val="-12"/>
          <w:szCs w:val="21"/>
        </w:rPr>
        <w:tab/>
      </w:r>
      <w:r>
        <w:rPr>
          <w:rFonts w:hint="eastAsia" w:hAnsi="宋体"/>
        </w:rPr>
        <w:t>风险资产的单位价格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m</w:t>
      </w:r>
      <w:r>
        <w:rPr>
          <w:rFonts w:hAnsi="宋体"/>
        </w:rPr>
        <w:tab/>
      </w:r>
      <w:r>
        <w:rPr>
          <w:rFonts w:hAnsi="宋体"/>
        </w:rPr>
        <w:tab/>
      </w:r>
      <w:r>
        <w:rPr>
          <w:rFonts w:hint="eastAsia" w:hAnsi="宋体"/>
        </w:rPr>
        <w:t>乘数</w:t>
      </w:r>
    </w:p>
    <w:p>
      <w:pPr>
        <w:ind w:firstLine="435"/>
        <w:rPr>
          <w:rFonts w:hAnsi="宋体"/>
        </w:rPr>
      </w:pPr>
      <w:r>
        <w:rPr>
          <w:position w:val="-12"/>
          <w:szCs w:val="21"/>
          <w:vertAlign w:val="subscript"/>
        </w:rPr>
        <w:object>
          <v:shape id="_x0000_i1363" o:spt="75" type="#_x0000_t75" style="height:18.9pt;width:12.25pt;" o:ole="t" filled="f" o:preferrelative="t" stroked="f" coordsize="21600,21600">
            <v:path/>
            <v:fill on="f" focussize="0,0"/>
            <v:stroke on="f" joinstyle="miter"/>
            <v:imagedata r:id="rId677" o:title=""/>
            <o:lock v:ext="edit" aspectratio="t"/>
            <w10:wrap type="none"/>
            <w10:anchorlock/>
          </v:shape>
          <o:OLEObject Type="Embed" ProgID="Equation.3" ShapeID="_x0000_i1363" DrawAspect="Content" ObjectID="_1468076063" r:id="rId676">
            <o:LockedField>false</o:LockedField>
          </o:OLEObject>
        </w:object>
      </w:r>
      <w:r>
        <w:rPr>
          <w:position w:val="-12"/>
          <w:szCs w:val="21"/>
          <w:vertAlign w:val="subscript"/>
        </w:rPr>
        <w:tab/>
      </w:r>
      <w:r>
        <w:rPr>
          <w:position w:val="-12"/>
          <w:szCs w:val="21"/>
          <w:vertAlign w:val="subscript"/>
        </w:rPr>
        <w:tab/>
      </w:r>
      <w:r>
        <w:rPr>
          <w:rFonts w:hint="eastAsia" w:hAnsi="宋体"/>
        </w:rPr>
        <w:t>保险垫</w:t>
      </w:r>
    </w:p>
    <w:p>
      <w:pPr>
        <w:rPr>
          <w:rFonts w:hAnsi="宋体"/>
        </w:rPr>
      </w:pPr>
    </w:p>
    <w:p>
      <w:pPr>
        <w:pStyle w:val="6"/>
      </w:pPr>
      <w:r>
        <w:rPr>
          <w:rFonts w:hint="eastAsia"/>
        </w:rPr>
        <w:t>投资于无风险资产的数目</w:t>
      </w:r>
    </w:p>
    <w:p>
      <w:pPr>
        <w:jc w:val="center"/>
        <w:rPr>
          <w:rFonts w:hAnsi="宋体"/>
        </w:rPr>
      </w:pPr>
      <w:r>
        <w:rPr>
          <w:i/>
          <w:iCs/>
        </w:rPr>
        <w:t>B</w:t>
      </w:r>
      <w:r>
        <w:rPr>
          <w:i/>
          <w:iCs/>
          <w:vertAlign w:val="subscript"/>
        </w:rPr>
        <w:t>t</w:t>
      </w:r>
      <w:r>
        <w:rPr>
          <w:rFonts w:hint="eastAsia"/>
          <w:i/>
          <w:iCs/>
          <w:vertAlign w:val="subscript"/>
        </w:rPr>
        <w:t xml:space="preserve"> </w:t>
      </w:r>
      <w:r>
        <w:rPr>
          <w:i/>
          <w:iCs/>
        </w:rPr>
        <w:t>=V</w:t>
      </w:r>
      <w:r>
        <w:rPr>
          <w:i/>
          <w:iCs/>
          <w:vertAlign w:val="subscript"/>
        </w:rPr>
        <w:t>t</w:t>
      </w:r>
      <w:r>
        <w:rPr>
          <w:rFonts w:hint="eastAsia"/>
          <w:i/>
          <w:iCs/>
          <w:vertAlign w:val="subscript"/>
        </w:rPr>
        <w:t xml:space="preserve"> </w:t>
      </w:r>
      <w:r>
        <w:rPr>
          <w:i/>
          <w:iCs/>
        </w:rPr>
        <w:t>–</w:t>
      </w:r>
      <w:r>
        <w:rPr>
          <w:rFonts w:hint="eastAsia"/>
          <w:i/>
          <w:iCs/>
        </w:rPr>
        <w:t xml:space="preserve"> </w:t>
      </w:r>
      <w:r>
        <w:rPr>
          <w:i/>
          <w:iCs/>
        </w:rPr>
        <w:t>A</w:t>
      </w:r>
      <w:r>
        <w:rPr>
          <w:i/>
          <w:iCs/>
          <w:vertAlign w:val="subscript"/>
        </w:rPr>
        <w:t>t</w:t>
      </w:r>
    </w:p>
    <w:p>
      <w:pPr>
        <w:rPr>
          <w:rFonts w:hAnsi="宋体"/>
        </w:rPr>
      </w:pPr>
      <w:r>
        <w:rPr>
          <w:rFonts w:hint="eastAsia" w:hAnsi="宋体"/>
        </w:rPr>
        <w:t>此处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B</w:t>
      </w:r>
      <w:r>
        <w:rPr>
          <w:rFonts w:hint="eastAsia" w:hAnsi="宋体"/>
          <w:szCs w:val="21"/>
          <w:vertAlign w:val="subscript"/>
        </w:rPr>
        <w:t>t</w:t>
      </w:r>
      <w:r>
        <w:rPr>
          <w:rFonts w:hAnsi="宋体"/>
          <w:szCs w:val="21"/>
          <w:vertAlign w:val="subscript"/>
        </w:rPr>
        <w:tab/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t时刻无风险投资组合的价值</w:t>
      </w:r>
    </w:p>
    <w:p>
      <w:pPr>
        <w:ind w:firstLine="420"/>
        <w:rPr>
          <w:rFonts w:hAnsi="宋体"/>
        </w:rPr>
      </w:pPr>
      <w:r>
        <w:rPr>
          <w:position w:val="-12"/>
          <w:szCs w:val="21"/>
          <w:vertAlign w:val="subscript"/>
        </w:rPr>
        <w:object>
          <v:shape id="_x0000_i1364" o:spt="75" type="#_x0000_t75" style="height:18.9pt;width:13.3pt;" o:ole="t" filled="f" o:preferrelative="t" stroked="f" coordsize="21600,21600">
            <v:path/>
            <v:fill on="f" focussize="0,0"/>
            <v:stroke on="f" joinstyle="miter"/>
            <v:imagedata r:id="rId671" o:title=""/>
            <o:lock v:ext="edit" aspectratio="t"/>
            <w10:wrap type="none"/>
            <w10:anchorlock/>
          </v:shape>
          <o:OLEObject Type="Embed" ProgID="Equation.3" ShapeID="_x0000_i1364" DrawAspect="Content" ObjectID="_1468076064" r:id="rId678">
            <o:LockedField>false</o:LockedField>
          </o:OLEObject>
        </w:object>
      </w:r>
      <w:r>
        <w:rPr>
          <w:position w:val="-12"/>
          <w:szCs w:val="21"/>
          <w:vertAlign w:val="subscript"/>
        </w:rPr>
        <w:tab/>
      </w:r>
      <w:r>
        <w:rPr>
          <w:position w:val="-12"/>
          <w:szCs w:val="21"/>
          <w:vertAlign w:val="subscript"/>
        </w:rPr>
        <w:tab/>
      </w:r>
      <w:r>
        <w:rPr>
          <w:rFonts w:hint="eastAsia" w:hAnsi="宋体"/>
        </w:rPr>
        <w:t>t时刻全部投资组合的价值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A</w:t>
      </w:r>
      <w:r>
        <w:rPr>
          <w:rFonts w:hint="eastAsia" w:hAnsi="宋体"/>
          <w:szCs w:val="21"/>
          <w:vertAlign w:val="subscript"/>
        </w:rPr>
        <w:t xml:space="preserve">t  </w:t>
      </w:r>
      <w:r>
        <w:rPr>
          <w:rFonts w:hAnsi="宋体"/>
          <w:szCs w:val="21"/>
          <w:vertAlign w:val="subscript"/>
        </w:rPr>
        <w:tab/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t时刻风险投资投资组合的价值</w:t>
      </w:r>
    </w:p>
    <w:p/>
    <w:p>
      <w:pPr>
        <w:pStyle w:val="3"/>
        <w:rPr>
          <w:lang w:eastAsia="zh-CN"/>
        </w:rPr>
      </w:pPr>
      <w:bookmarkStart w:id="105" w:name="_Toc13393"/>
      <w:r>
        <w:rPr>
          <w:lang w:eastAsia="zh-CN"/>
        </w:rPr>
        <w:t xml:space="preserve">5      </w:t>
      </w:r>
      <w:r>
        <w:rPr>
          <w:rFonts w:hint="eastAsia"/>
          <w:lang w:eastAsia="zh-CN"/>
        </w:rPr>
        <w:t>股票管理组合</w:t>
      </w:r>
      <w:bookmarkEnd w:id="105"/>
    </w:p>
    <w:p/>
    <w:p>
      <w:pPr>
        <w:pStyle w:val="6"/>
      </w:pPr>
      <w:r>
        <w:rPr>
          <w:rFonts w:hint="eastAsia"/>
        </w:rPr>
        <w:t>积极回报</w:t>
      </w:r>
    </w:p>
    <w:p>
      <w:pPr>
        <w:jc w:val="center"/>
      </w:pPr>
      <w:r>
        <w:rPr>
          <w:position w:val="-14"/>
        </w:rPr>
        <w:object>
          <v:shape id="_x0000_i1365" o:spt="75" type="#_x0000_t75" style="height:21.95pt;width:77.1pt;" o:ole="t" filled="f" o:preferrelative="t" stroked="f" coordsize="21600,21600">
            <v:path/>
            <v:fill on="f" focussize="0,0"/>
            <v:stroke on="f" joinstyle="miter"/>
            <v:imagedata r:id="rId680" o:title=""/>
            <o:lock v:ext="edit" aspectratio="t"/>
            <w10:wrap type="none"/>
            <w10:anchorlock/>
          </v:shape>
          <o:OLEObject Type="Embed" ProgID="Equation.3" ShapeID="_x0000_i1365" DrawAspect="Content" ObjectID="_1468076065" r:id="rId679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</w:pPr>
      <w:r>
        <w:rPr>
          <w:position w:val="-14"/>
          <w:sz w:val="22"/>
        </w:rPr>
        <w:object>
          <v:shape id="_x0000_i1366" o:spt="75" type="#_x0000_t75" style="height:21.95pt;width:24pt;" o:ole="t" filled="f" o:preferrelative="t" stroked="f" coordsize="21600,21600">
            <v:path/>
            <v:fill on="f" focussize="0,0"/>
            <v:stroke on="f" joinstyle="miter"/>
            <v:imagedata r:id="rId682" o:title=""/>
            <o:lock v:ext="edit" aspectratio="t"/>
            <w10:wrap type="none"/>
            <w10:anchorlock/>
          </v:shape>
          <o:OLEObject Type="Embed" ProgID="Equation.3" ShapeID="_x0000_i1366" DrawAspect="Content" ObjectID="_1468076066" r:id="rId681">
            <o:LockedField>false</o:LockedField>
          </o:OLEObject>
        </w:object>
      </w:r>
      <w:r>
        <w:rPr>
          <w:rFonts w:hint="eastAsia"/>
          <w:position w:val="-14"/>
          <w:sz w:val="22"/>
        </w:rPr>
        <w:t xml:space="preserve">  </w:t>
      </w:r>
      <w:r>
        <w:rPr>
          <w:position w:val="-14"/>
          <w:sz w:val="22"/>
        </w:rPr>
        <w:tab/>
      </w:r>
      <w:r>
        <w:rPr>
          <w:rFonts w:hint="eastAsia"/>
        </w:rPr>
        <w:t>时期t内的积极回报</w:t>
      </w:r>
    </w:p>
    <w:p>
      <w:pPr>
        <w:ind w:firstLine="435"/>
      </w:pPr>
      <w:r>
        <w:rPr>
          <w:position w:val="-10"/>
          <w:sz w:val="22"/>
        </w:rPr>
        <w:object>
          <v:shape id="_x0000_i1367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684" o:title=""/>
            <o:lock v:ext="edit" aspectratio="t"/>
            <w10:wrap type="none"/>
            <w10:anchorlock/>
          </v:shape>
          <o:OLEObject Type="Embed" ProgID="Equation.3" ShapeID="_x0000_i1367" DrawAspect="Content" ObjectID="_1468076067" r:id="rId683">
            <o:LockedField>false</o:LockedField>
          </o:OLEObject>
        </w:object>
      </w:r>
      <w:r>
        <w:rPr>
          <w:rFonts w:hint="eastAsia"/>
          <w:position w:val="-10"/>
          <w:sz w:val="22"/>
        </w:rPr>
        <w:t xml:space="preserve">  </w:t>
      </w:r>
      <w:r>
        <w:rPr>
          <w:position w:val="-10"/>
          <w:sz w:val="22"/>
        </w:rPr>
        <w:tab/>
      </w:r>
      <w:r>
        <w:rPr>
          <w:rFonts w:hint="eastAsia"/>
        </w:rPr>
        <w:t>时期t内的投资组合回报</w:t>
      </w:r>
    </w:p>
    <w:p>
      <w:pPr>
        <w:ind w:firstLine="435"/>
      </w:pPr>
      <w:r>
        <w:rPr>
          <w:i/>
          <w:iCs/>
          <w:position w:val="-10"/>
          <w:sz w:val="22"/>
        </w:rPr>
        <w:object>
          <v:shape id="_x0000_i1368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686" o:title=""/>
            <o:lock v:ext="edit" aspectratio="t"/>
            <w10:wrap type="none"/>
            <w10:anchorlock/>
          </v:shape>
          <o:OLEObject Type="Embed" ProgID="Equation.3" ShapeID="_x0000_i1368" DrawAspect="Content" ObjectID="_1468076068" r:id="rId685">
            <o:LockedField>false</o:LockedField>
          </o:OLEObject>
        </w:object>
      </w:r>
      <w:r>
        <w:rPr>
          <w:rFonts w:hint="eastAsia"/>
          <w:i/>
          <w:iCs/>
          <w:position w:val="-10"/>
          <w:sz w:val="22"/>
        </w:rPr>
        <w:t xml:space="preserve">  </w:t>
      </w:r>
      <w:r>
        <w:rPr>
          <w:i/>
          <w:iCs/>
          <w:position w:val="-10"/>
          <w:sz w:val="22"/>
        </w:rPr>
        <w:tab/>
      </w:r>
      <w:r>
        <w:rPr>
          <w:rFonts w:hint="eastAsia"/>
        </w:rPr>
        <w:t>时期t内的投资基准回报</w:t>
      </w:r>
    </w:p>
    <w:p/>
    <w:p>
      <w:pPr>
        <w:pStyle w:val="7"/>
        <w:rPr>
          <w:lang w:eastAsia="zh-CN"/>
        </w:rPr>
      </w:pPr>
      <w:r>
        <w:rPr>
          <w:rFonts w:hint="eastAsia"/>
          <w:lang w:eastAsia="zh-CN"/>
        </w:rPr>
        <w:t>跟踪误差</w:t>
      </w:r>
    </w:p>
    <w:p>
      <w:pPr>
        <w:jc w:val="center"/>
      </w:pPr>
      <w:r>
        <w:object>
          <v:shape id="_x0000_i1369" o:spt="75" type="#_x0000_t75" style="height:21.95pt;width:92.95pt;" o:ole="t" filled="f" o:preferrelative="t" stroked="f" coordsize="21600,21600">
            <v:path/>
            <v:fill on="f" focussize="0,0"/>
            <v:stroke on="f" joinstyle="miter"/>
            <v:imagedata r:id="rId688" o:title=""/>
            <o:lock v:ext="edit" aspectratio="t"/>
            <w10:wrap type="none"/>
            <w10:anchorlock/>
          </v:shape>
          <o:OLEObject Type="Embed" ProgID="Equation.3" ShapeID="_x0000_i1369" DrawAspect="Content" ObjectID="_1468076069" r:id="rId687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</w:pPr>
      <w:r>
        <w:rPr>
          <w:position w:val="-4"/>
          <w:sz w:val="20"/>
        </w:rPr>
        <w:object>
          <v:shape id="_x0000_i1370" o:spt="75" type="#_x0000_t75" style="height:16.35pt;width:31.65pt;" o:ole="t" filled="f" o:preferrelative="t" stroked="f" coordsize="21600,21600">
            <v:path/>
            <v:fill on="f" focussize="0,0"/>
            <v:stroke on="f" joinstyle="miter"/>
            <v:imagedata r:id="rId690" o:title=""/>
            <o:lock v:ext="edit" aspectratio="t"/>
            <w10:wrap type="none"/>
            <w10:anchorlock/>
          </v:shape>
          <o:OLEObject Type="Embed" ProgID="Equation.3" ShapeID="_x0000_i1370" DrawAspect="Content" ObjectID="_1468076070" r:id="rId689">
            <o:LockedField>false</o:LockedField>
          </o:OLEObject>
        </w:object>
      </w:r>
      <w:r>
        <w:rPr>
          <w:rFonts w:hint="eastAsia"/>
          <w:position w:val="-4"/>
          <w:sz w:val="20"/>
        </w:rPr>
        <w:t xml:space="preserve">  </w:t>
      </w:r>
      <w:r>
        <w:rPr>
          <w:position w:val="-4"/>
          <w:sz w:val="20"/>
        </w:rPr>
        <w:tab/>
      </w:r>
      <w:r>
        <w:rPr>
          <w:rFonts w:hint="eastAsia"/>
        </w:rPr>
        <w:t>跟踪误差</w:t>
      </w:r>
    </w:p>
    <w:p>
      <w:pPr>
        <w:ind w:firstLine="435"/>
      </w:pPr>
      <w:r>
        <w:rPr>
          <w:position w:val="-12"/>
          <w:sz w:val="20"/>
        </w:rPr>
        <w:object>
          <v:shape id="_x0000_i1371" o:spt="75" type="#_x0000_t75" style="height:20.45pt;width:38.8pt;" o:ole="t" filled="f" o:preferrelative="t" stroked="f" coordsize="21600,21600">
            <v:path/>
            <v:fill on="f" focussize="0,0"/>
            <v:stroke on="f" joinstyle="miter"/>
            <v:imagedata r:id="rId692" o:title=""/>
            <o:lock v:ext="edit" aspectratio="t"/>
            <w10:wrap type="none"/>
            <w10:anchorlock/>
          </v:shape>
          <o:OLEObject Type="Embed" ProgID="Equation.3" ShapeID="_x0000_i1371" DrawAspect="Content" ObjectID="_1468076071" r:id="rId691">
            <o:LockedField>false</o:LockedField>
          </o:OLEObject>
        </w:object>
      </w:r>
      <w:r>
        <w:rPr>
          <w:rFonts w:hint="eastAsia"/>
          <w:position w:val="-12"/>
          <w:sz w:val="20"/>
        </w:rPr>
        <w:t xml:space="preserve">  </w:t>
      </w:r>
      <w:r>
        <w:rPr>
          <w:position w:val="-12"/>
          <w:sz w:val="20"/>
        </w:rPr>
        <w:tab/>
      </w:r>
      <w:r>
        <w:rPr>
          <w:rFonts w:hint="eastAsia"/>
        </w:rPr>
        <w:t>积极回报的方差</w:t>
      </w:r>
    </w:p>
    <w:p/>
    <w:p>
      <w:pPr>
        <w:pStyle w:val="4"/>
        <w:rPr>
          <w:rFonts w:cs="Arial"/>
          <w:szCs w:val="24"/>
          <w:lang w:eastAsia="zh-CN"/>
        </w:rPr>
      </w:pPr>
      <w:bookmarkStart w:id="106" w:name="_Toc21256"/>
      <w:r>
        <w:rPr>
          <w:rFonts w:cs="Arial"/>
          <w:szCs w:val="24"/>
          <w:lang w:eastAsia="zh-CN"/>
        </w:rPr>
        <w:t>5.1</w:t>
      </w:r>
      <w:r>
        <w:rPr>
          <w:rFonts w:hint="eastAsia" w:cs="Arial"/>
          <w:szCs w:val="24"/>
          <w:lang w:eastAsia="zh-CN"/>
        </w:rPr>
        <w:t>多因素模型方法</w:t>
      </w:r>
      <w:bookmarkEnd w:id="106"/>
    </w:p>
    <w:p>
      <w:pPr>
        <w:pStyle w:val="6"/>
      </w:pPr>
      <w:r>
        <w:rPr>
          <w:rFonts w:hint="eastAsia"/>
        </w:rPr>
        <w:t>资产的超额回报</w:t>
      </w:r>
    </w:p>
    <w:p>
      <w:pPr>
        <w:jc w:val="center"/>
      </w:pPr>
      <w:r>
        <w:rPr>
          <w:position w:val="-30"/>
        </w:rPr>
        <w:object>
          <v:shape id="_x0000_i1372" o:spt="75" type="#_x0000_t75" style="height:33.7pt;width:86.8pt;" o:ole="t" filled="f" o:preferrelative="t" stroked="f" coordsize="21600,21600">
            <v:path/>
            <v:fill on="f" focussize="0,0"/>
            <v:stroke on="f" joinstyle="miter"/>
            <v:imagedata r:id="rId694" o:title=""/>
            <o:lock v:ext="edit" aspectratio="t"/>
            <w10:wrap type="none"/>
            <w10:anchorlock/>
          </v:shape>
          <o:OLEObject Type="Embed" ProgID="Equation.3" ShapeID="_x0000_i1372" DrawAspect="Content" ObjectID="_1468076072" r:id="rId693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</w:pPr>
      <w:r>
        <w:rPr>
          <w:position w:val="-12"/>
          <w:szCs w:val="21"/>
        </w:rPr>
        <w:object>
          <v:shape id="_x0000_i1373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696" o:title=""/>
            <o:lock v:ext="edit" aspectratio="t"/>
            <w10:wrap type="none"/>
            <w10:anchorlock/>
          </v:shape>
          <o:OLEObject Type="Embed" ProgID="Equation.3" ShapeID="_x0000_i1373" DrawAspect="Content" ObjectID="_1468076073" r:id="rId695">
            <o:LockedField>false</o:LockedField>
          </o:OLEObject>
        </w:object>
      </w:r>
      <w:r>
        <w:rPr>
          <w:rFonts w:hint="eastAsia"/>
          <w:position w:val="-12"/>
          <w:szCs w:val="21"/>
        </w:rPr>
        <w:t xml:space="preserve">  </w:t>
      </w:r>
      <w:r>
        <w:rPr>
          <w:position w:val="-12"/>
          <w:szCs w:val="21"/>
        </w:rPr>
        <w:tab/>
      </w:r>
      <w:r>
        <w:rPr>
          <w:position w:val="-12"/>
          <w:szCs w:val="21"/>
        </w:rPr>
        <w:tab/>
      </w:r>
      <w:r>
        <w:rPr>
          <w:rFonts w:hint="eastAsia"/>
        </w:rPr>
        <w:t>资产i的超额回报（i= 1，</w:t>
      </w:r>
      <w:r>
        <w:t>…</w:t>
      </w:r>
      <w:r>
        <w:rPr>
          <w:rFonts w:hint="eastAsia"/>
        </w:rPr>
        <w:t>，N）</w:t>
      </w:r>
    </w:p>
    <w:p>
      <w:pPr>
        <w:ind w:firstLine="435"/>
      </w:pPr>
      <w:r>
        <w:rPr>
          <w:position w:val="-14"/>
          <w:szCs w:val="21"/>
        </w:rPr>
        <w:object>
          <v:shape id="_x0000_i1374" o:spt="75" type="#_x0000_t75" style="height:19.4pt;width:19.4pt;" o:ole="t" filled="f" o:preferrelative="t" stroked="f" coordsize="21600,21600">
            <v:path/>
            <v:fill on="f" focussize="0,0"/>
            <v:stroke on="f" joinstyle="miter"/>
            <v:imagedata r:id="rId698" o:title=""/>
            <o:lock v:ext="edit" aspectratio="t"/>
            <w10:wrap type="none"/>
            <w10:anchorlock/>
          </v:shape>
          <o:OLEObject Type="Embed" ProgID="Equation.3" ShapeID="_x0000_i1374" DrawAspect="Content" ObjectID="_1468076074" r:id="rId697">
            <o:LockedField>false</o:LockedField>
          </o:OLEObject>
        </w:object>
      </w:r>
      <w:r>
        <w:rPr>
          <w:rFonts w:hint="eastAsia"/>
          <w:position w:val="-14"/>
          <w:szCs w:val="21"/>
        </w:rPr>
        <w:t xml:space="preserve">  </w:t>
      </w:r>
      <w:r>
        <w:rPr>
          <w:position w:val="-14"/>
          <w:szCs w:val="21"/>
        </w:rPr>
        <w:tab/>
      </w:r>
      <w:r>
        <w:rPr>
          <w:position w:val="-14"/>
          <w:szCs w:val="21"/>
        </w:rPr>
        <w:tab/>
      </w:r>
      <w:r>
        <w:rPr>
          <w:rFonts w:hint="eastAsia"/>
        </w:rPr>
        <w:t>资产i对因素j的暴露（因素贝塔值）</w:t>
      </w:r>
    </w:p>
    <w:p>
      <w:pPr>
        <w:ind w:firstLine="435"/>
      </w:pPr>
      <w:r>
        <w:rPr>
          <w:position w:val="-14"/>
          <w:szCs w:val="21"/>
        </w:rPr>
        <w:object>
          <v:shape id="_x0000_i1375" o:spt="75" type="#_x0000_t75" style="height:19.4pt;width:13.3pt;" o:ole="t" filled="f" o:preferrelative="t" stroked="f" coordsize="21600,21600">
            <v:path/>
            <v:fill on="f" focussize="0,0"/>
            <v:stroke on="f" joinstyle="miter"/>
            <v:imagedata r:id="rId700" o:title=""/>
            <o:lock v:ext="edit" aspectratio="t"/>
            <w10:wrap type="none"/>
            <w10:anchorlock/>
          </v:shape>
          <o:OLEObject Type="Embed" ProgID="Equation.3" ShapeID="_x0000_i1375" DrawAspect="Content" ObjectID="_1468076075" r:id="rId699">
            <o:LockedField>false</o:LockedField>
          </o:OLEObject>
        </w:object>
      </w:r>
      <w:r>
        <w:rPr>
          <w:rFonts w:hint="eastAsia"/>
          <w:position w:val="-14"/>
          <w:szCs w:val="21"/>
        </w:rPr>
        <w:t xml:space="preserve">  </w:t>
      </w:r>
      <w:r>
        <w:rPr>
          <w:position w:val="-14"/>
          <w:szCs w:val="21"/>
        </w:rPr>
        <w:tab/>
      </w:r>
      <w:r>
        <w:rPr>
          <w:position w:val="-14"/>
          <w:szCs w:val="21"/>
        </w:rPr>
        <w:tab/>
      </w:r>
      <w:r>
        <w:rPr>
          <w:rFonts w:hint="eastAsia"/>
        </w:rPr>
        <w:t>因素j的超额回报（j=1，</w:t>
      </w:r>
      <w:r>
        <w:t>…</w:t>
      </w:r>
      <w:r>
        <w:rPr>
          <w:rFonts w:hint="eastAsia"/>
        </w:rPr>
        <w:t>，NF）</w:t>
      </w:r>
    </w:p>
    <w:p>
      <w:pPr>
        <w:ind w:firstLine="435"/>
      </w:pPr>
      <w:r>
        <w:rPr>
          <w:position w:val="-12"/>
          <w:szCs w:val="21"/>
        </w:rPr>
        <w:object>
          <v:shape id="_x0000_i1376" o:spt="75" type="#_x0000_t75" style="height:18.9pt;width:12.25pt;" o:ole="t" filled="f" o:preferrelative="t" stroked="f" coordsize="21600,21600">
            <v:path/>
            <v:fill on="f" focussize="0,0"/>
            <v:stroke on="f" joinstyle="miter"/>
            <v:imagedata r:id="rId702" o:title=""/>
            <o:lock v:ext="edit" aspectratio="t"/>
            <w10:wrap type="none"/>
            <w10:anchorlock/>
          </v:shape>
          <o:OLEObject Type="Embed" ProgID="Equation.3" ShapeID="_x0000_i1376" DrawAspect="Content" ObjectID="_1468076076" r:id="rId701">
            <o:LockedField>false</o:LockedField>
          </o:OLEObject>
        </w:object>
      </w:r>
      <w:r>
        <w:rPr>
          <w:rFonts w:hint="eastAsia"/>
          <w:position w:val="-12"/>
          <w:szCs w:val="21"/>
        </w:rPr>
        <w:t xml:space="preserve">  </w:t>
      </w:r>
      <w:r>
        <w:rPr>
          <w:position w:val="-12"/>
          <w:szCs w:val="21"/>
        </w:rPr>
        <w:tab/>
      </w:r>
      <w:r>
        <w:rPr>
          <w:position w:val="-12"/>
          <w:szCs w:val="21"/>
        </w:rPr>
        <w:tab/>
      </w:r>
      <w:r>
        <w:rPr>
          <w:rFonts w:hint="eastAsia"/>
        </w:rPr>
        <w:t>资产i的特殊回报（残余回报）</w:t>
      </w:r>
    </w:p>
    <w:p>
      <w:pPr>
        <w:ind w:firstLine="435"/>
      </w:pPr>
      <w:r>
        <w:rPr>
          <w:rFonts w:hint="eastAsia"/>
        </w:rPr>
        <w:t xml:space="preserve">NF   </w:t>
      </w:r>
      <w:r>
        <w:tab/>
      </w:r>
      <w:r>
        <w:tab/>
      </w:r>
      <w:r>
        <w:rPr>
          <w:rFonts w:hint="eastAsia"/>
        </w:rPr>
        <w:t>因素的数目</w:t>
      </w:r>
    </w:p>
    <w:p/>
    <w:p>
      <w:pPr>
        <w:pStyle w:val="6"/>
      </w:pPr>
      <w:r>
        <w:rPr>
          <w:rFonts w:hint="eastAsia"/>
        </w:rPr>
        <w:t>投资组合的超额回报</w:t>
      </w:r>
    </w:p>
    <w:p>
      <w:pPr>
        <w:jc w:val="center"/>
      </w:pPr>
      <w:r>
        <w:rPr>
          <w:position w:val="-10"/>
        </w:rPr>
        <w:object>
          <v:shape id="_x0000_i1377" o:spt="75" type="#_x0000_t75" style="height:18.9pt;width:78.65pt;" o:ole="t" filled="f" o:preferrelative="t" stroked="f" coordsize="21600,21600">
            <v:path/>
            <v:fill on="f" focussize="0,0"/>
            <v:stroke on="f" joinstyle="miter"/>
            <v:imagedata r:id="rId704" o:title=""/>
            <o:lock v:ext="edit" aspectratio="t"/>
            <w10:wrap type="none"/>
            <w10:anchorlock/>
          </v:shape>
          <o:OLEObject Type="Embed" ProgID="Equation.3" ShapeID="_x0000_i1377" DrawAspect="Content" ObjectID="_1468076077" r:id="rId703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jc w:val="center"/>
      </w:pPr>
      <w:r>
        <w:rPr>
          <w:position w:val="-28"/>
        </w:rPr>
        <w:object>
          <v:shape id="_x0000_i1378" o:spt="75" type="#_x0000_t75" style="height:33.7pt;width:192.5pt;" o:ole="t" filled="f" o:preferrelative="t" stroked="f" coordsize="21600,21600">
            <v:path/>
            <v:fill on="f" focussize="0,0"/>
            <v:stroke on="f" joinstyle="miter"/>
            <v:imagedata r:id="rId706" o:title=""/>
            <o:lock v:ext="edit" aspectratio="t"/>
            <w10:wrap type="none"/>
            <w10:anchorlock/>
          </v:shape>
          <o:OLEObject Type="Embed" ProgID="Equation.3" ShapeID="_x0000_i1378" DrawAspect="Content" ObjectID="_1468076078" r:id="rId705">
            <o:LockedField>false</o:LockedField>
          </o:OLEObject>
        </w:object>
      </w:r>
      <w:r>
        <w:t xml:space="preserve">  (</w:t>
      </w:r>
      <w:r>
        <w:rPr>
          <w:i/>
          <w:iCs/>
        </w:rPr>
        <w:t>j=</w:t>
      </w:r>
      <w:r>
        <w:t>1,…,</w:t>
      </w:r>
      <w:r>
        <w:rPr>
          <w:i/>
          <w:iCs/>
        </w:rPr>
        <w:t>NF)</w:t>
      </w:r>
    </w:p>
    <w:p>
      <w:r>
        <w:rPr>
          <w:rFonts w:hint="eastAsia"/>
        </w:rPr>
        <w:t>并且</w:t>
      </w:r>
    </w:p>
    <w:p>
      <w:pPr>
        <w:ind w:firstLine="431" w:firstLineChars="196"/>
      </w:pPr>
      <w:r>
        <w:rPr>
          <w:position w:val="-14"/>
          <w:sz w:val="22"/>
        </w:rPr>
        <w:object>
          <v:shape id="_x0000_i1379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708" o:title=""/>
            <o:lock v:ext="edit" aspectratio="t"/>
            <w10:wrap type="none"/>
            <w10:anchorlock/>
          </v:shape>
          <o:OLEObject Type="Embed" ProgID="Equation.3" ShapeID="_x0000_i1379" DrawAspect="Content" ObjectID="_1468076079" r:id="rId707">
            <o:LockedField>false</o:LockedField>
          </o:OLEObject>
        </w:object>
      </w:r>
      <w:r>
        <w:rPr>
          <w:rFonts w:hint="eastAsia"/>
          <w:position w:val="-14"/>
          <w:sz w:val="22"/>
        </w:rPr>
        <w:t xml:space="preserve">  </w:t>
      </w:r>
      <w:r>
        <w:rPr>
          <w:position w:val="-14"/>
          <w:sz w:val="22"/>
        </w:rPr>
        <w:tab/>
      </w:r>
      <w:r>
        <w:rPr>
          <w:position w:val="-14"/>
          <w:sz w:val="22"/>
        </w:rPr>
        <w:tab/>
      </w:r>
      <w:r>
        <w:rPr>
          <w:position w:val="-14"/>
          <w:sz w:val="22"/>
        </w:rPr>
        <w:tab/>
      </w:r>
      <w:r>
        <w:rPr>
          <w:rFonts w:hint="eastAsia"/>
        </w:rPr>
        <w:t>资产i对因素j的暴露（因素贝塔值）</w:t>
      </w:r>
    </w:p>
    <w:p>
      <w:pPr>
        <w:ind w:firstLine="440" w:firstLineChars="200"/>
      </w:pPr>
      <w:r>
        <w:rPr>
          <w:position w:val="-14"/>
          <w:sz w:val="22"/>
          <w:lang w:val="en-GB"/>
        </w:rPr>
        <w:object>
          <v:shape id="_x0000_i1380" o:spt="75" type="#_x0000_t75" style="height:18.9pt;width:21.95pt;" o:ole="t" filled="f" o:preferrelative="t" stroked="f" coordsize="21600,21600">
            <v:path/>
            <v:fill on="f" focussize="0,0"/>
            <v:stroke on="f" joinstyle="miter"/>
            <v:imagedata r:id="rId710" o:title=""/>
            <o:lock v:ext="edit" aspectratio="t"/>
            <w10:wrap type="none"/>
            <w10:anchorlock/>
          </v:shape>
          <o:OLEObject Type="Embed" ProgID="Equation.3" ShapeID="_x0000_i1380" DrawAspect="Content" ObjectID="_1468076080" r:id="rId709">
            <o:LockedField>false</o:LockedField>
          </o:OLEObject>
        </w:object>
      </w:r>
      <w:r>
        <w:rPr>
          <w:rFonts w:hint="eastAsia"/>
          <w:position w:val="-14"/>
          <w:sz w:val="22"/>
          <w:lang w:val="en-GB"/>
        </w:rPr>
        <w:t xml:space="preserve">  </w:t>
      </w:r>
      <w:r>
        <w:rPr>
          <w:position w:val="-14"/>
          <w:sz w:val="22"/>
          <w:lang w:val="en-GB"/>
        </w:rPr>
        <w:tab/>
      </w:r>
      <w:r>
        <w:rPr>
          <w:position w:val="-14"/>
          <w:sz w:val="22"/>
          <w:lang w:val="en-GB"/>
        </w:rPr>
        <w:tab/>
      </w:r>
      <w:r>
        <w:rPr>
          <w:position w:val="-14"/>
          <w:sz w:val="22"/>
          <w:lang w:val="en-GB"/>
        </w:rPr>
        <w:tab/>
      </w:r>
      <w:r>
        <w:rPr>
          <w:rFonts w:hint="eastAsia"/>
        </w:rPr>
        <w:t>投资组合对因素j的暴露</w:t>
      </w:r>
    </w:p>
    <w:p>
      <w:pPr>
        <w:ind w:firstLine="435"/>
        <w:rPr>
          <w:rFonts w:ascii="宋体" w:hAnsi="宋体"/>
        </w:rPr>
      </w:pPr>
      <w:r>
        <w:rPr>
          <w:position w:val="-10"/>
          <w:sz w:val="22"/>
        </w:rPr>
        <w:object>
          <v:shape id="_x0000_i1381" o:spt="75" type="#_x0000_t75" style="height:16.35pt;width:76.6pt;" o:ole="t" filled="f" o:preferrelative="t" stroked="f" coordsize="21600,21600">
            <v:path/>
            <v:fill on="f" focussize="0,0"/>
            <v:stroke on="f" joinstyle="miter"/>
            <v:imagedata r:id="rId712" o:title=""/>
            <o:lock v:ext="edit" aspectratio="t"/>
            <w10:wrap type="none"/>
            <w10:anchorlock/>
          </v:shape>
          <o:OLEObject Type="Embed" ProgID="Equation.3" ShapeID="_x0000_i1381" DrawAspect="Content" ObjectID="_1468076081" r:id="rId711">
            <o:LockedField>false</o:LockedField>
          </o:OLEObject>
        </w:object>
      </w:r>
      <w:r>
        <w:rPr>
          <w:rFonts w:hint="eastAsia"/>
          <w:position w:val="-10"/>
          <w:sz w:val="22"/>
        </w:rPr>
        <w:t xml:space="preserve"> </w:t>
      </w:r>
      <w:r>
        <w:rPr>
          <w:rFonts w:hint="eastAsia"/>
        </w:rPr>
        <w:t>是因素回报的N</w:t>
      </w:r>
      <w:r>
        <w:rPr>
          <w:rFonts w:hint="eastAsia" w:ascii="宋体" w:hAnsi="宋体"/>
        </w:rPr>
        <w:t>F×1向量</w:t>
      </w:r>
    </w:p>
    <w:p>
      <w:pPr>
        <w:ind w:firstLine="435"/>
        <w:rPr>
          <w:rFonts w:ascii="宋体" w:hAnsi="宋体"/>
        </w:rPr>
      </w:pPr>
      <w:r>
        <w:rPr>
          <w:b/>
          <w:bCs/>
          <w:position w:val="-10"/>
          <w:sz w:val="22"/>
        </w:rPr>
        <w:object>
          <v:shape id="_x0000_i1382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714" o:title=""/>
            <o:lock v:ext="edit" aspectratio="t"/>
            <w10:wrap type="none"/>
            <w10:anchorlock/>
          </v:shape>
          <o:OLEObject Type="Embed" ProgID="Equation.3" ShapeID="_x0000_i1382" DrawAspect="Content" ObjectID="_1468076082" r:id="rId713">
            <o:LockedField>false</o:LockedField>
          </o:OLEObject>
        </w:objec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hint="eastAsia" w:ascii="宋体" w:hAnsi="宋体"/>
        </w:rPr>
        <w:t>是资产i在投资组合中的比重</w:t>
      </w:r>
    </w:p>
    <w:p>
      <w:pPr>
        <w:ind w:firstLine="435"/>
        <w:rPr>
          <w:szCs w:val="21"/>
        </w:rPr>
      </w:pPr>
      <w:r>
        <w:rPr>
          <w:position w:val="-28"/>
          <w:sz w:val="22"/>
        </w:rPr>
        <w:object>
          <v:shape id="_x0000_i1383" o:spt="75" type="#_x0000_t75" style="height:33.7pt;width:68.95pt;" o:ole="t" filled="f" o:preferrelative="t" stroked="f" coordsize="21600,21600">
            <v:path/>
            <v:fill on="f" focussize="0,0"/>
            <v:stroke on="f" joinstyle="miter"/>
            <v:imagedata r:id="rId716" o:title=""/>
            <o:lock v:ext="edit" aspectratio="t"/>
            <w10:wrap type="none"/>
            <w10:anchorlock/>
          </v:shape>
          <o:OLEObject Type="Embed" ProgID="Equation.3" ShapeID="_x0000_i1383" DrawAspect="Content" ObjectID="_1468076083" r:id="rId715">
            <o:LockedField>false</o:LockedField>
          </o:OLEObject>
        </w:object>
      </w:r>
      <w:r>
        <w:rPr>
          <w:position w:val="-28"/>
          <w:sz w:val="22"/>
        </w:rPr>
        <w:tab/>
      </w:r>
      <w:r>
        <w:rPr>
          <w:rFonts w:hint="eastAsia" w:ascii="宋体" w:hAnsi="宋体"/>
        </w:rPr>
        <w:t>投资组合的特殊回报，这里</w:t>
      </w:r>
      <w:r>
        <w:t>ε</w:t>
      </w:r>
      <w:r>
        <w:rPr>
          <w:rFonts w:hint="eastAsia"/>
          <w:szCs w:val="21"/>
          <w:vertAlign w:val="subscript"/>
        </w:rPr>
        <w:t>i</w:t>
      </w:r>
      <w:r>
        <w:rPr>
          <w:rFonts w:hint="eastAsia"/>
          <w:szCs w:val="21"/>
        </w:rPr>
        <w:t>是资产i的特殊回报</w:t>
      </w:r>
    </w:p>
    <w:p>
      <w:pPr>
        <w:ind w:left="420"/>
        <w:rPr>
          <w:szCs w:val="21"/>
        </w:rPr>
      </w:pPr>
      <w:r>
        <w:rPr>
          <w:rFonts w:hint="eastAsia"/>
          <w:i/>
          <w:iCs/>
          <w:szCs w:val="21"/>
        </w:rPr>
        <w:t>NF</w:t>
      </w:r>
      <w:r>
        <w:rPr>
          <w:i/>
          <w:iCs/>
          <w:szCs w:val="21"/>
        </w:rPr>
        <w:tab/>
      </w:r>
      <w:r>
        <w:rPr>
          <w:i/>
          <w:iCs/>
          <w:szCs w:val="21"/>
        </w:rPr>
        <w:tab/>
      </w:r>
      <w:r>
        <w:rPr>
          <w:i/>
          <w:iCs/>
          <w:szCs w:val="21"/>
        </w:rPr>
        <w:tab/>
      </w:r>
      <w:r>
        <w:rPr>
          <w:i/>
          <w:iCs/>
          <w:szCs w:val="21"/>
        </w:rPr>
        <w:tab/>
      </w:r>
      <w:r>
        <w:rPr>
          <w:rFonts w:hint="eastAsia"/>
          <w:szCs w:val="21"/>
        </w:rPr>
        <w:t>因素的数目</w:t>
      </w:r>
    </w:p>
    <w:p>
      <w:pPr>
        <w:ind w:firstLine="435"/>
        <w:rPr>
          <w:szCs w:val="21"/>
        </w:rPr>
      </w:pPr>
      <w:r>
        <w:rPr>
          <w:rFonts w:hint="eastAsia"/>
          <w:i/>
          <w:iCs/>
          <w:szCs w:val="21"/>
        </w:rPr>
        <w:t xml:space="preserve">N </w:t>
      </w:r>
      <w:r>
        <w:rPr>
          <w:i/>
          <w:iCs/>
          <w:szCs w:val="21"/>
        </w:rPr>
        <w:tab/>
      </w:r>
      <w:r>
        <w:rPr>
          <w:i/>
          <w:iCs/>
          <w:szCs w:val="21"/>
        </w:rPr>
        <w:tab/>
      </w:r>
      <w:r>
        <w:rPr>
          <w:i/>
          <w:iCs/>
          <w:szCs w:val="21"/>
        </w:rPr>
        <w:tab/>
      </w:r>
      <w:r>
        <w:rPr>
          <w:i/>
          <w:iCs/>
          <w:szCs w:val="21"/>
        </w:rPr>
        <w:tab/>
      </w:r>
      <w:r>
        <w:rPr>
          <w:rFonts w:hint="eastAsia"/>
          <w:szCs w:val="21"/>
        </w:rPr>
        <w:t>投资组合中资产的数目</w:t>
      </w:r>
    </w:p>
    <w:p>
      <w:pPr>
        <w:rPr>
          <w:szCs w:val="21"/>
        </w:rPr>
      </w:pPr>
    </w:p>
    <w:p>
      <w:pPr>
        <w:pStyle w:val="6"/>
      </w:pPr>
      <w:r>
        <w:rPr>
          <w:rFonts w:hint="eastAsia"/>
        </w:rPr>
        <w:t>投资组合的波动性</w:t>
      </w:r>
    </w:p>
    <w:p>
      <w:pPr>
        <w:jc w:val="center"/>
        <w:rPr>
          <w:position w:val="-10"/>
          <w:sz w:val="20"/>
        </w:rPr>
      </w:pPr>
      <w:r>
        <w:rPr>
          <w:position w:val="-14"/>
          <w:sz w:val="20"/>
        </w:rPr>
        <w:object>
          <v:shape id="_x0000_i1384" o:spt="75" type="#_x0000_t75" style="height:19.4pt;width:126.65pt;" o:ole="t" filled="t" o:preferrelative="t" stroked="f" coordsize="21600,21600">
            <v:path/>
            <v:fill on="t" focussize="0,0"/>
            <v:stroke on="f" joinstyle="miter"/>
            <v:imagedata r:id="rId718" o:title=""/>
            <o:lock v:ext="edit" aspectratio="t"/>
            <w10:wrap type="none"/>
            <w10:anchorlock/>
          </v:shape>
          <o:OLEObject Type="Embed" ProgID="Equation.DSMT4" ShapeID="_x0000_i1384" DrawAspect="Content" ObjectID="_1468076084" r:id="rId717">
            <o:LockedField>false</o:LockedField>
          </o:OLEObject>
        </w:object>
      </w:r>
    </w:p>
    <w:p>
      <w:pPr>
        <w:jc w:val="center"/>
      </w:pPr>
      <w:r>
        <w:rPr>
          <w:position w:val="-28"/>
          <w:sz w:val="20"/>
        </w:rPr>
        <w:object>
          <v:shape id="_x0000_i1385" o:spt="75" type="#_x0000_t75" style="height:33.7pt;width:84.25pt;" o:ole="t" filled="t" o:preferrelative="t" stroked="f" coordsize="21600,21600">
            <v:path/>
            <v:fill on="t" focussize="0,0"/>
            <v:stroke on="f" joinstyle="miter"/>
            <v:imagedata r:id="rId720" o:title=""/>
            <o:lock v:ext="edit" aspectratio="t"/>
            <w10:wrap type="none"/>
            <w10:anchorlock/>
          </v:shape>
          <o:OLEObject Type="Embed" ProgID="Equation.3" ShapeID="_x0000_i1385" DrawAspect="Content" ObjectID="_1468076085" r:id="rId719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  <w:rPr>
          <w:rFonts w:ascii="宋体" w:hAnsi="宋体"/>
        </w:rPr>
      </w:pPr>
      <w:r>
        <w:rPr>
          <w:position w:val="-10"/>
          <w:sz w:val="22"/>
        </w:rPr>
        <w:object>
          <v:shape id="_x0000_i1386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722" o:title=""/>
            <o:lock v:ext="edit" aspectratio="t"/>
            <w10:wrap type="none"/>
            <w10:anchorlock/>
          </v:shape>
          <o:OLEObject Type="Embed" ProgID="Equation.3" ShapeID="_x0000_i1386" DrawAspect="Content" ObjectID="_1468076086" r:id="rId721">
            <o:LockedField>false</o:LockedField>
          </o:OLEObject>
        </w:object>
      </w:r>
      <w:r>
        <w:rPr>
          <w:position w:val="-10"/>
          <w:sz w:val="22"/>
        </w:rPr>
        <w:tab/>
      </w:r>
      <w:r>
        <w:rPr>
          <w:position w:val="-10"/>
          <w:sz w:val="22"/>
        </w:rPr>
        <w:tab/>
      </w:r>
      <w:r>
        <w:rPr>
          <w:rFonts w:hint="eastAsia"/>
        </w:rPr>
        <w:t>投资组合对因素回报暴露的</w:t>
      </w:r>
      <w:r>
        <w:rPr>
          <w:rFonts w:hint="eastAsia" w:ascii="宋体" w:hAnsi="宋体"/>
        </w:rPr>
        <w:t>1×NF向量</w:t>
      </w:r>
    </w:p>
    <w:p>
      <w:pPr>
        <w:ind w:firstLine="420" w:firstLineChars="200"/>
        <w:rPr>
          <w:rFonts w:ascii="宋体" w:hAnsi="宋体"/>
        </w:rPr>
      </w:pPr>
      <w:r>
        <w:rPr>
          <w:rFonts w:ascii="宋体" w:hAnsi="宋体"/>
          <w:i/>
          <w:iCs/>
        </w:rPr>
        <w:t>W</w:t>
      </w:r>
      <w:r>
        <w:rPr>
          <w:rFonts w:ascii="宋体" w:hAnsi="宋体"/>
          <w:i/>
          <w:iCs/>
        </w:rPr>
        <w:tab/>
      </w:r>
      <w:r>
        <w:rPr>
          <w:rFonts w:ascii="宋体" w:hAnsi="宋体"/>
          <w:i/>
          <w:iCs/>
        </w:rPr>
        <w:tab/>
      </w:r>
      <w:r>
        <w:rPr>
          <w:rFonts w:hint="eastAsia" w:ascii="宋体" w:hAnsi="宋体"/>
        </w:rPr>
        <w:t>因素回报的向量F的协方差矩阵</w:t>
      </w:r>
    </w:p>
    <w:p>
      <w:pPr>
        <w:ind w:firstLine="435"/>
        <w:rPr>
          <w:rFonts w:ascii="宋体" w:hAnsi="宋体"/>
        </w:rPr>
      </w:pPr>
      <w:r>
        <w:rPr>
          <w:position w:val="-10"/>
          <w:sz w:val="22"/>
        </w:rPr>
        <w:object>
          <v:shape id="_x0000_i1387" o:spt="75" type="#_x0000_t75" style="height:18.9pt;width:14.8pt;" o:ole="t" filled="t" o:preferrelative="t" stroked="f" coordsize="21600,21600">
            <v:path/>
            <v:fill on="t" focussize="0,0"/>
            <v:stroke on="f" joinstyle="miter"/>
            <v:imagedata r:id="rId724" o:title=""/>
            <o:lock v:ext="edit" aspectratio="t"/>
            <w10:wrap type="none"/>
            <w10:anchorlock/>
          </v:shape>
          <o:OLEObject Type="Embed" ProgID="Equation.3" ShapeID="_x0000_i1387" DrawAspect="Content" ObjectID="_1468076087" r:id="rId723">
            <o:LockedField>false</o:LockedField>
          </o:OLEObject>
        </w:objec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ab/>
      </w:r>
      <w:r>
        <w:rPr>
          <w:rFonts w:hint="eastAsia" w:ascii="宋体" w:hAnsi="宋体"/>
        </w:rPr>
        <w:t xml:space="preserve">资产i的特殊回报的方差 </w:t>
      </w:r>
    </w:p>
    <w:p>
      <w:pPr>
        <w:ind w:firstLine="435"/>
        <w:rPr>
          <w:rFonts w:ascii="宋体" w:hAnsi="宋体"/>
        </w:rPr>
      </w:pPr>
      <w:r>
        <w:rPr>
          <w:position w:val="-10"/>
          <w:sz w:val="22"/>
        </w:rPr>
        <w:object>
          <v:shape id="_x0000_i1388" o:spt="75" type="#_x0000_t75" style="height:18.9pt;width:14.8pt;" o:ole="t" filled="t" o:preferrelative="t" stroked="f" coordsize="21600,21600">
            <v:path/>
            <v:fill on="t" focussize="0,0"/>
            <v:stroke on="f" joinstyle="miter"/>
            <v:imagedata r:id="rId726" o:title=""/>
            <o:lock v:ext="edit" aspectratio="t"/>
            <w10:wrap type="none"/>
            <w10:anchorlock/>
          </v:shape>
          <o:OLEObject Type="Embed" ProgID="Equation.3" ShapeID="_x0000_i1388" DrawAspect="Content" ObjectID="_1468076088" r:id="rId725">
            <o:LockedField>false</o:LockedField>
          </o:OLEObject>
        </w:object>
      </w:r>
      <w:r>
        <w:rPr>
          <w:position w:val="-10"/>
          <w:sz w:val="22"/>
        </w:rPr>
        <w:tab/>
      </w:r>
      <w:r>
        <w:rPr>
          <w:position w:val="-10"/>
          <w:sz w:val="22"/>
        </w:rPr>
        <w:tab/>
      </w:r>
      <w:r>
        <w:rPr>
          <w:rFonts w:hint="eastAsia" w:ascii="宋体" w:hAnsi="宋体"/>
        </w:rPr>
        <w:t xml:space="preserve">投资组合的特殊回报的方差 </w:t>
      </w:r>
    </w:p>
    <w:p>
      <w:pPr>
        <w:ind w:firstLine="435"/>
        <w:rPr>
          <w:rFonts w:ascii="宋体" w:hAnsi="宋体"/>
        </w:rPr>
      </w:pPr>
      <w:r>
        <w:rPr>
          <w:rFonts w:hint="eastAsia" w:ascii="宋体" w:hAnsi="宋体"/>
          <w:i/>
          <w:iCs/>
        </w:rPr>
        <w:t xml:space="preserve">N </w:t>
      </w:r>
      <w:r>
        <w:rPr>
          <w:rFonts w:ascii="宋体" w:hAnsi="宋体"/>
          <w:i/>
          <w:iCs/>
        </w:rPr>
        <w:tab/>
      </w:r>
      <w:r>
        <w:rPr>
          <w:rFonts w:ascii="宋体" w:hAnsi="宋体"/>
          <w:i/>
          <w:iCs/>
        </w:rPr>
        <w:tab/>
      </w:r>
      <w:r>
        <w:rPr>
          <w:rFonts w:hint="eastAsia" w:ascii="宋体" w:hAnsi="宋体"/>
        </w:rPr>
        <w:t>投资组合中资产的数目</w:t>
      </w:r>
    </w:p>
    <w:p>
      <w:pPr>
        <w:rPr>
          <w:rFonts w:ascii="宋体" w:hAnsi="宋体"/>
        </w:rPr>
      </w:pPr>
    </w:p>
    <w:p>
      <w:pPr>
        <w:pStyle w:val="6"/>
      </w:pPr>
      <w:r>
        <w:rPr>
          <w:rFonts w:hint="eastAsia"/>
        </w:rPr>
        <w:t>跟踪误差</w:t>
      </w:r>
    </w:p>
    <w:p>
      <w:pPr>
        <w:jc w:val="center"/>
      </w:pPr>
      <w:r>
        <w:rPr>
          <w:position w:val="-30"/>
        </w:rPr>
        <w:object>
          <v:shape id="_x0000_i1389" o:spt="75" type="#_x0000_t75" style="height:37.3pt;width:256.35pt;" o:ole="t" filled="t" o:preferrelative="t" stroked="f" coordsize="21600,21600">
            <v:path/>
            <v:fill on="t" focussize="0,0"/>
            <v:stroke on="f" joinstyle="miter"/>
            <v:imagedata r:id="rId728" o:title=""/>
            <o:lock v:ext="edit" aspectratio="t"/>
            <w10:wrap type="none"/>
            <w10:anchorlock/>
          </v:shape>
          <o:OLEObject Type="Embed" ProgID="Equation.3" ShapeID="_x0000_i1389" DrawAspect="Content" ObjectID="_1468076089" r:id="rId727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</w:pPr>
      <w:r>
        <w:rPr>
          <w:position w:val="-4"/>
          <w:sz w:val="22"/>
        </w:rPr>
        <w:object>
          <v:shape id="_x0000_i1390" o:spt="75" type="#_x0000_t75" style="height:14.8pt;width:30.15pt;" o:ole="t" filled="f" o:preferrelative="t" stroked="f" coordsize="21600,21600">
            <v:path/>
            <v:fill on="f" focussize="0,0"/>
            <v:stroke on="f" joinstyle="miter"/>
            <v:imagedata r:id="rId730" o:title=""/>
            <o:lock v:ext="edit" aspectratio="t"/>
            <w10:wrap type="none"/>
            <w10:anchorlock/>
          </v:shape>
          <o:OLEObject Type="Embed" ProgID="Equation.3" ShapeID="_x0000_i1390" DrawAspect="Content" ObjectID="_1468076090" r:id="rId729">
            <o:LockedField>false</o:LockedField>
          </o:OLEObject>
        </w:object>
      </w:r>
      <w:r>
        <w:rPr>
          <w:position w:val="-4"/>
          <w:sz w:val="22"/>
        </w:rPr>
        <w:tab/>
      </w:r>
      <w:r>
        <w:rPr>
          <w:position w:val="-4"/>
          <w:sz w:val="22"/>
        </w:rPr>
        <w:tab/>
      </w:r>
      <w:r>
        <w:rPr>
          <w:rFonts w:hint="eastAsia"/>
        </w:rPr>
        <w:t>投资组合对于投资基准的跟踪误差</w:t>
      </w:r>
    </w:p>
    <w:p>
      <w:pPr>
        <w:ind w:firstLine="435"/>
        <w:rPr>
          <w:rFonts w:ascii="宋体" w:hAnsi="宋体"/>
        </w:rPr>
      </w:pPr>
      <w:r>
        <w:rPr>
          <w:position w:val="-14"/>
          <w:sz w:val="22"/>
        </w:rPr>
        <w:object>
          <v:shape id="_x0000_i1391" o:spt="75" type="#_x0000_t75" style="height:21.95pt;width:16.35pt;" o:ole="t" filled="f" o:preferrelative="t" stroked="f" coordsize="21600,21600">
            <v:path/>
            <v:fill on="f" focussize="0,0"/>
            <v:stroke on="f" joinstyle="miter"/>
            <v:imagedata r:id="rId732" o:title=""/>
            <o:lock v:ext="edit" aspectratio="t"/>
            <w10:wrap type="none"/>
            <w10:anchorlock/>
          </v:shape>
          <o:OLEObject Type="Embed" ProgID="Equation.3" ShapeID="_x0000_i1391" DrawAspect="Content" ObjectID="_1468076091" r:id="rId731">
            <o:LockedField>false</o:LockedField>
          </o:OLEObject>
        </w:object>
      </w:r>
      <w:r>
        <w:rPr>
          <w:position w:val="-14"/>
          <w:sz w:val="22"/>
        </w:rPr>
        <w:tab/>
      </w:r>
      <w:r>
        <w:rPr>
          <w:position w:val="-14"/>
          <w:sz w:val="22"/>
        </w:rPr>
        <w:tab/>
      </w:r>
      <w:r>
        <w:rPr>
          <w:position w:val="-14"/>
          <w:sz w:val="22"/>
        </w:rPr>
        <w:tab/>
      </w:r>
      <w:r>
        <w:rPr>
          <w:rFonts w:hint="eastAsia"/>
        </w:rPr>
        <w:t>投资组合对于因素回报的暴露的</w:t>
      </w:r>
      <w:r>
        <w:rPr>
          <w:rFonts w:hint="eastAsia" w:ascii="宋体" w:hAnsi="宋体"/>
        </w:rPr>
        <w:t>1×NF向量</w:t>
      </w:r>
    </w:p>
    <w:p>
      <w:pPr>
        <w:ind w:firstLine="435"/>
        <w:rPr>
          <w:rFonts w:ascii="宋体" w:hAnsi="宋体"/>
        </w:rPr>
      </w:pPr>
      <w:r>
        <w:rPr>
          <w:position w:val="-14"/>
          <w:sz w:val="22"/>
        </w:rPr>
        <w:object>
          <v:shape id="_x0000_i1392" o:spt="75" type="#_x0000_t75" style="height:21.95pt;width:16.35pt;" o:ole="t" filled="f" o:preferrelative="t" stroked="f" coordsize="21600,21600">
            <v:path/>
            <v:fill on="f" focussize="0,0"/>
            <v:stroke on="f" joinstyle="miter"/>
            <v:imagedata r:id="rId734" o:title=""/>
            <o:lock v:ext="edit" aspectratio="t"/>
            <w10:wrap type="none"/>
            <w10:anchorlock/>
          </v:shape>
          <o:OLEObject Type="Embed" ProgID="Equation.3" ShapeID="_x0000_i1392" DrawAspect="Content" ObjectID="_1468076092" r:id="rId733">
            <o:LockedField>false</o:LockedField>
          </o:OLEObject>
        </w:objec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hint="eastAsia" w:ascii="宋体" w:hAnsi="宋体"/>
        </w:rPr>
        <w:t>投资基准对于因素回报的暴露的1×NF向量</w:t>
      </w:r>
    </w:p>
    <w:p>
      <w:pPr>
        <w:ind w:firstLine="435"/>
        <w:rPr>
          <w:rFonts w:ascii="宋体" w:hAnsi="宋体"/>
        </w:rPr>
      </w:pPr>
      <w:r>
        <w:rPr>
          <w:rFonts w:hint="eastAsia" w:ascii="宋体" w:hAnsi="宋体"/>
          <w:i/>
          <w:iCs/>
        </w:rPr>
        <w:t>W</w:t>
      </w:r>
      <w:r>
        <w:rPr>
          <w:rFonts w:ascii="宋体" w:hAnsi="宋体"/>
          <w:i/>
          <w:iCs/>
        </w:rPr>
        <w:tab/>
      </w:r>
      <w:r>
        <w:rPr>
          <w:rFonts w:ascii="宋体" w:hAnsi="宋体"/>
          <w:i/>
          <w:iCs/>
        </w:rPr>
        <w:tab/>
      </w:r>
      <w:r>
        <w:rPr>
          <w:rFonts w:ascii="宋体" w:hAnsi="宋体"/>
          <w:i/>
          <w:iCs/>
        </w:rPr>
        <w:tab/>
      </w:r>
      <w:r>
        <w:rPr>
          <w:rFonts w:hint="eastAsia" w:ascii="宋体" w:hAnsi="宋体"/>
        </w:rPr>
        <w:t>因素回报的向量F的协方差矩阵</w:t>
      </w:r>
    </w:p>
    <w:p>
      <w:pPr>
        <w:ind w:firstLine="435"/>
        <w:rPr>
          <w:rFonts w:ascii="宋体" w:hAnsi="宋体"/>
        </w:rPr>
      </w:pPr>
      <w:r>
        <w:rPr>
          <w:b/>
          <w:bCs/>
          <w:position w:val="-10"/>
          <w:sz w:val="22"/>
        </w:rPr>
        <w:object>
          <v:shape id="_x0000_i1393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714" o:title=""/>
            <o:lock v:ext="edit" aspectratio="t"/>
            <w10:wrap type="none"/>
            <w10:anchorlock/>
          </v:shape>
          <o:OLEObject Type="Embed" ProgID="Equation.3" ShapeID="_x0000_i1393" DrawAspect="Content" ObjectID="_1468076093" r:id="rId735">
            <o:LockedField>false</o:LockedField>
          </o:OLEObject>
        </w:object>
      </w:r>
      <w:r>
        <w:rPr>
          <w:b/>
          <w:bCs/>
          <w:position w:val="-10"/>
          <w:sz w:val="22"/>
        </w:rPr>
        <w:tab/>
      </w:r>
      <w:r>
        <w:rPr>
          <w:b/>
          <w:bCs/>
          <w:position w:val="-10"/>
          <w:sz w:val="22"/>
        </w:rPr>
        <w:tab/>
      </w:r>
      <w:r>
        <w:rPr>
          <w:b/>
          <w:bCs/>
          <w:position w:val="-10"/>
          <w:sz w:val="22"/>
        </w:rPr>
        <w:tab/>
      </w:r>
      <w:r>
        <w:rPr>
          <w:rFonts w:hint="eastAsia" w:ascii="宋体" w:hAnsi="宋体"/>
        </w:rPr>
        <w:t>资产i在投资组合</w:t>
      </w:r>
      <w:bookmarkStart w:id="107" w:name="OLE_LINK12"/>
      <w:bookmarkStart w:id="108" w:name="OLE_LINK11"/>
      <w:r>
        <w:rPr>
          <w:rFonts w:hint="eastAsia" w:ascii="宋体" w:hAnsi="宋体"/>
        </w:rPr>
        <w:t>中</w:t>
      </w:r>
      <w:bookmarkEnd w:id="107"/>
      <w:bookmarkEnd w:id="108"/>
      <w:r>
        <w:rPr>
          <w:rFonts w:hint="eastAsia" w:ascii="宋体" w:hAnsi="宋体"/>
        </w:rPr>
        <w:t>的比重</w:t>
      </w:r>
    </w:p>
    <w:p>
      <w:pPr>
        <w:ind w:firstLine="435"/>
      </w:pPr>
      <w:r>
        <w:rPr>
          <w:b/>
          <w:bCs/>
          <w:position w:val="-10"/>
          <w:sz w:val="22"/>
        </w:rPr>
        <w:object>
          <v:shape id="_x0000_i1394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737" o:title=""/>
            <o:lock v:ext="edit" aspectratio="t"/>
            <w10:wrap type="none"/>
            <w10:anchorlock/>
          </v:shape>
          <o:OLEObject Type="Embed" ProgID="Equation.3" ShapeID="_x0000_i1394" DrawAspect="Content" ObjectID="_1468076094" r:id="rId736">
            <o:LockedField>false</o:LockedField>
          </o:OLEObject>
        </w:object>
      </w:r>
      <w:r>
        <w:rPr>
          <w:b/>
          <w:bCs/>
          <w:position w:val="-10"/>
          <w:sz w:val="22"/>
        </w:rPr>
        <w:tab/>
      </w:r>
      <w:r>
        <w:rPr>
          <w:b/>
          <w:bCs/>
          <w:position w:val="-10"/>
          <w:sz w:val="22"/>
        </w:rPr>
        <w:tab/>
      </w:r>
      <w:r>
        <w:rPr>
          <w:b/>
          <w:bCs/>
          <w:position w:val="-10"/>
          <w:sz w:val="22"/>
        </w:rPr>
        <w:tab/>
      </w:r>
      <w:r>
        <w:rPr>
          <w:rFonts w:hint="eastAsia" w:ascii="宋体" w:hAnsi="宋体"/>
        </w:rPr>
        <w:t>资产i在投资基准中的比重</w:t>
      </w:r>
    </w:p>
    <w:p>
      <w:pPr>
        <w:ind w:firstLine="435"/>
        <w:rPr>
          <w:rFonts w:ascii="宋体" w:hAnsi="宋体"/>
        </w:rPr>
      </w:pPr>
      <w:r>
        <w:rPr>
          <w:position w:val="-10"/>
          <w:sz w:val="22"/>
        </w:rPr>
        <w:object>
          <v:shape id="_x0000_i1395" o:spt="75" type="#_x0000_t75" style="height:18.9pt;width:14.8pt;" o:ole="t" filled="t" o:preferrelative="t" stroked="f" coordsize="21600,21600">
            <v:path/>
            <v:fill on="t" focussize="0,0"/>
            <v:stroke on="f" joinstyle="miter"/>
            <v:imagedata r:id="rId724" o:title=""/>
            <o:lock v:ext="edit" aspectratio="t"/>
            <w10:wrap type="none"/>
            <w10:anchorlock/>
          </v:shape>
          <o:OLEObject Type="Embed" ProgID="Equation.3" ShapeID="_x0000_i1395" DrawAspect="Content" ObjectID="_1468076095" r:id="rId738">
            <o:LockedField>false</o:LockedField>
          </o:OLEObject>
        </w:objec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hint="eastAsia" w:ascii="宋体" w:hAnsi="宋体"/>
        </w:rPr>
        <w:t>资产i的特殊回报的方差</w:t>
      </w:r>
    </w:p>
    <w:p>
      <w:pPr>
        <w:ind w:firstLine="435"/>
        <w:rPr>
          <w:rFonts w:ascii="宋体" w:hAnsi="宋体"/>
        </w:rPr>
      </w:pPr>
      <w:r>
        <w:rPr>
          <w:rFonts w:ascii="宋体" w:hAnsi="宋体"/>
          <w:i/>
          <w:iCs/>
        </w:rPr>
        <w:t>N</w:t>
      </w:r>
      <w:r>
        <w:rPr>
          <w:rFonts w:ascii="宋体" w:hAnsi="宋体"/>
          <w:i/>
          <w:iCs/>
        </w:rPr>
        <w:tab/>
      </w:r>
      <w:r>
        <w:rPr>
          <w:rFonts w:ascii="宋体" w:hAnsi="宋体"/>
          <w:i/>
          <w:iCs/>
        </w:rPr>
        <w:tab/>
      </w:r>
      <w:r>
        <w:rPr>
          <w:rFonts w:ascii="宋体" w:hAnsi="宋体"/>
          <w:i/>
          <w:iCs/>
        </w:rPr>
        <w:tab/>
      </w:r>
      <w:r>
        <w:rPr>
          <w:rFonts w:hint="eastAsia" w:ascii="宋体" w:hAnsi="宋体"/>
        </w:rPr>
        <w:t>投资组合中资产的数目</w:t>
      </w:r>
    </w:p>
    <w:p>
      <w:pPr>
        <w:rPr>
          <w:rFonts w:ascii="宋体" w:hAnsi="宋体"/>
        </w:rPr>
      </w:pPr>
    </w:p>
    <w:p>
      <w:pPr>
        <w:pStyle w:val="6"/>
      </w:pPr>
      <w:r>
        <w:rPr>
          <w:rFonts w:hint="eastAsia"/>
        </w:rPr>
        <w:t>预测跟踪误差</w:t>
      </w:r>
    </w:p>
    <w:p>
      <w:pPr>
        <w:jc w:val="center"/>
      </w:pPr>
      <w:r>
        <w:rPr>
          <w:position w:val="-30"/>
        </w:rPr>
        <w:object>
          <v:shape id="_x0000_i1396" o:spt="75" type="#_x0000_t75" style="height:36.75pt;width:254.8pt;" o:ole="t" filled="t" o:preferrelative="t" stroked="f" coordsize="21600,21600">
            <v:path/>
            <v:fill on="t" focussize="0,0"/>
            <v:stroke on="f" joinstyle="miter"/>
            <v:imagedata r:id="rId740" o:title=""/>
            <o:lock v:ext="edit" aspectratio="t"/>
            <w10:wrap type="none"/>
            <w10:anchorlock/>
          </v:shape>
          <o:OLEObject Type="Embed" ProgID="Equation.3" ShapeID="_x0000_i1396" DrawAspect="Content" ObjectID="_1468076096" r:id="rId739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</w:pPr>
      <w:r>
        <w:rPr>
          <w:position w:val="-4"/>
          <w:sz w:val="22"/>
        </w:rPr>
        <w:object>
          <v:shape id="_x0000_i1397" o:spt="75" type="#_x0000_t75" style="height:16.35pt;width:31.65pt;" o:ole="t" filled="f" o:preferrelative="t" stroked="f" coordsize="21600,21600">
            <v:path/>
            <v:fill on="f" focussize="0,0"/>
            <v:stroke on="f" joinstyle="miter"/>
            <v:imagedata r:id="rId742" o:title=""/>
            <o:lock v:ext="edit" aspectratio="t"/>
            <w10:wrap type="none"/>
            <w10:anchorlock/>
          </v:shape>
          <o:OLEObject Type="Embed" ProgID="Equation.3" ShapeID="_x0000_i1397" DrawAspect="Content" ObjectID="_1468076097" r:id="rId741">
            <o:LockedField>false</o:LockedField>
          </o:OLEObject>
        </w:object>
      </w:r>
      <w:r>
        <w:rPr>
          <w:position w:val="-4"/>
          <w:sz w:val="22"/>
        </w:rPr>
        <w:tab/>
      </w:r>
      <w:r>
        <w:rPr>
          <w:position w:val="-4"/>
          <w:sz w:val="22"/>
        </w:rPr>
        <w:tab/>
      </w:r>
      <w:r>
        <w:rPr>
          <w:rFonts w:hint="eastAsia"/>
        </w:rPr>
        <w:t>投资组合对于投资基准的预测跟踪误差</w:t>
      </w:r>
    </w:p>
    <w:p>
      <w:pPr>
        <w:ind w:firstLine="435"/>
        <w:rPr>
          <w:rFonts w:ascii="宋体" w:hAnsi="宋体"/>
        </w:rPr>
      </w:pPr>
      <w:r>
        <w:rPr>
          <w:position w:val="-14"/>
          <w:sz w:val="22"/>
        </w:rPr>
        <w:object>
          <v:shape id="_x0000_i1398" o:spt="75" type="#_x0000_t75" style="height:21.95pt;width:16.35pt;" o:ole="t" filled="f" o:preferrelative="t" stroked="f" coordsize="21600,21600">
            <v:path/>
            <v:fill on="f" focussize="0,0"/>
            <v:stroke on="f" joinstyle="miter"/>
            <v:imagedata r:id="rId732" o:title=""/>
            <o:lock v:ext="edit" aspectratio="t"/>
            <w10:wrap type="none"/>
            <w10:anchorlock/>
          </v:shape>
          <o:OLEObject Type="Embed" ProgID="Equation.3" ShapeID="_x0000_i1398" DrawAspect="Content" ObjectID="_1468076098" r:id="rId743">
            <o:LockedField>false</o:LockedField>
          </o:OLEObject>
        </w:object>
      </w:r>
      <w:r>
        <w:rPr>
          <w:position w:val="-14"/>
          <w:sz w:val="22"/>
        </w:rPr>
        <w:tab/>
      </w:r>
      <w:r>
        <w:rPr>
          <w:position w:val="-14"/>
          <w:sz w:val="22"/>
        </w:rPr>
        <w:tab/>
      </w:r>
      <w:r>
        <w:rPr>
          <w:position w:val="-14"/>
          <w:sz w:val="22"/>
        </w:rPr>
        <w:tab/>
      </w:r>
      <w:r>
        <w:rPr>
          <w:rFonts w:hint="eastAsia"/>
        </w:rPr>
        <w:t>投资组合对于因素回报的暴露的</w:t>
      </w:r>
      <w:r>
        <w:rPr>
          <w:rFonts w:hint="eastAsia" w:ascii="宋体" w:hAnsi="宋体"/>
        </w:rPr>
        <w:t>1×NF向量</w:t>
      </w:r>
    </w:p>
    <w:p>
      <w:pPr>
        <w:ind w:firstLine="435"/>
        <w:rPr>
          <w:rFonts w:ascii="宋体" w:hAnsi="宋体"/>
        </w:rPr>
      </w:pPr>
      <w:r>
        <w:rPr>
          <w:position w:val="-14"/>
          <w:sz w:val="22"/>
        </w:rPr>
        <w:object>
          <v:shape id="_x0000_i1399" o:spt="75" type="#_x0000_t75" style="height:21.95pt;width:16.35pt;" o:ole="t" filled="f" o:preferrelative="t" stroked="f" coordsize="21600,21600">
            <v:path/>
            <v:fill on="f" focussize="0,0"/>
            <v:stroke on="f" joinstyle="miter"/>
            <v:imagedata r:id="rId734" o:title=""/>
            <o:lock v:ext="edit" aspectratio="t"/>
            <w10:wrap type="none"/>
            <w10:anchorlock/>
          </v:shape>
          <o:OLEObject Type="Embed" ProgID="Equation.3" ShapeID="_x0000_i1399" DrawAspect="Content" ObjectID="_1468076099" r:id="rId744">
            <o:LockedField>false</o:LockedField>
          </o:OLEObject>
        </w:objec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hint="eastAsia" w:ascii="宋体" w:hAnsi="宋体"/>
        </w:rPr>
        <w:t>投资基准对于因素回报的暴露的1×NF向量</w:t>
      </w:r>
    </w:p>
    <w:p>
      <w:pPr>
        <w:ind w:left="420"/>
        <w:rPr>
          <w:rFonts w:ascii="宋体" w:hAnsi="宋体"/>
        </w:rPr>
      </w:pPr>
      <w:r>
        <w:rPr>
          <w:i/>
          <w:iCs/>
          <w:position w:val="-6"/>
          <w:sz w:val="22"/>
        </w:rPr>
        <w:object>
          <v:shape id="_x0000_i1400" o:spt="75" type="#_x0000_t75" style="height:16.35pt;width:14.8pt;" o:ole="t" filled="f" o:preferrelative="t" stroked="f" coordsize="21600,21600">
            <v:path/>
            <v:fill on="f" focussize="0,0"/>
            <v:stroke on="f" joinstyle="miter"/>
            <v:imagedata r:id="rId746" o:title=""/>
            <o:lock v:ext="edit" aspectratio="t"/>
            <w10:wrap type="none"/>
            <w10:anchorlock/>
          </v:shape>
          <o:OLEObject Type="Embed" ProgID="Equation.3" ShapeID="_x0000_i1400" DrawAspect="Content" ObjectID="_1468076100" r:id="rId745">
            <o:LockedField>false</o:LockedField>
          </o:OLEObject>
        </w:object>
      </w:r>
      <w:r>
        <w:rPr>
          <w:i/>
          <w:iCs/>
          <w:position w:val="-6"/>
          <w:sz w:val="22"/>
        </w:rPr>
        <w:tab/>
      </w:r>
      <w:r>
        <w:rPr>
          <w:i/>
          <w:iCs/>
          <w:position w:val="-6"/>
          <w:sz w:val="22"/>
        </w:rPr>
        <w:tab/>
      </w:r>
      <w:r>
        <w:rPr>
          <w:i/>
          <w:iCs/>
          <w:position w:val="-6"/>
          <w:sz w:val="22"/>
        </w:rPr>
        <w:tab/>
      </w:r>
      <w:r>
        <w:rPr>
          <w:rFonts w:hint="eastAsia" w:ascii="宋体" w:hAnsi="宋体"/>
        </w:rPr>
        <w:t>因素回报的向量F的预测协方差矩阵</w:t>
      </w:r>
    </w:p>
    <w:p>
      <w:pPr>
        <w:ind w:firstLine="435"/>
        <w:rPr>
          <w:rFonts w:ascii="宋体" w:hAnsi="宋体"/>
        </w:rPr>
      </w:pPr>
      <w:r>
        <w:rPr>
          <w:b/>
          <w:bCs/>
          <w:position w:val="-10"/>
          <w:sz w:val="22"/>
        </w:rPr>
        <w:object>
          <v:shape id="_x0000_i1401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714" o:title=""/>
            <o:lock v:ext="edit" aspectratio="t"/>
            <w10:wrap type="none"/>
            <w10:anchorlock/>
          </v:shape>
          <o:OLEObject Type="Embed" ProgID="Equation.3" ShapeID="_x0000_i1401" DrawAspect="Content" ObjectID="_1468076101" r:id="rId747">
            <o:LockedField>false</o:LockedField>
          </o:OLEObject>
        </w:object>
      </w:r>
      <w:r>
        <w:rPr>
          <w:b/>
          <w:bCs/>
          <w:position w:val="-10"/>
          <w:sz w:val="22"/>
        </w:rPr>
        <w:tab/>
      </w:r>
      <w:r>
        <w:rPr>
          <w:b/>
          <w:bCs/>
          <w:position w:val="-10"/>
          <w:sz w:val="22"/>
        </w:rPr>
        <w:tab/>
      </w:r>
      <w:r>
        <w:rPr>
          <w:b/>
          <w:bCs/>
          <w:position w:val="-10"/>
          <w:sz w:val="22"/>
        </w:rPr>
        <w:tab/>
      </w:r>
      <w:r>
        <w:rPr>
          <w:rFonts w:hint="eastAsia" w:ascii="宋体" w:hAnsi="宋体"/>
        </w:rPr>
        <w:t>资产i在投资组合中的比重</w:t>
      </w:r>
    </w:p>
    <w:p>
      <w:pPr>
        <w:ind w:firstLine="435"/>
        <w:rPr>
          <w:rFonts w:ascii="宋体" w:hAnsi="宋体"/>
        </w:rPr>
      </w:pPr>
      <w:r>
        <w:rPr>
          <w:b/>
          <w:bCs/>
          <w:position w:val="-10"/>
          <w:sz w:val="22"/>
        </w:rPr>
        <w:object>
          <v:shape id="_x0000_i1402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737" o:title=""/>
            <o:lock v:ext="edit" aspectratio="t"/>
            <w10:wrap type="none"/>
            <w10:anchorlock/>
          </v:shape>
          <o:OLEObject Type="Embed" ProgID="Equation.3" ShapeID="_x0000_i1402" DrawAspect="Content" ObjectID="_1468076102" r:id="rId748">
            <o:LockedField>false</o:LockedField>
          </o:OLEObject>
        </w:object>
      </w:r>
      <w:r>
        <w:rPr>
          <w:b/>
          <w:bCs/>
          <w:position w:val="-10"/>
          <w:sz w:val="22"/>
        </w:rPr>
        <w:tab/>
      </w:r>
      <w:r>
        <w:rPr>
          <w:b/>
          <w:bCs/>
          <w:position w:val="-10"/>
          <w:sz w:val="22"/>
        </w:rPr>
        <w:tab/>
      </w:r>
      <w:r>
        <w:rPr>
          <w:b/>
          <w:bCs/>
          <w:position w:val="-10"/>
          <w:sz w:val="22"/>
        </w:rPr>
        <w:tab/>
      </w:r>
      <w:r>
        <w:rPr>
          <w:rFonts w:hint="eastAsia" w:ascii="宋体" w:hAnsi="宋体"/>
        </w:rPr>
        <w:t>资产i在投资基准中的比重</w:t>
      </w:r>
    </w:p>
    <w:p>
      <w:pPr>
        <w:ind w:firstLine="435"/>
        <w:rPr>
          <w:rFonts w:ascii="宋体" w:hAnsi="宋体"/>
        </w:rPr>
      </w:pPr>
      <w:r>
        <w:rPr>
          <w:position w:val="-10"/>
          <w:sz w:val="22"/>
        </w:rPr>
        <w:object>
          <v:shape id="_x0000_i1403" o:spt="75" type="#_x0000_t75" style="height:18.9pt;width:14.8pt;" o:ole="t" filled="t" o:preferrelative="t" stroked="f" coordsize="21600,21600">
            <v:path/>
            <v:fill on="t" focussize="0,0"/>
            <v:stroke on="f" joinstyle="miter"/>
            <v:imagedata r:id="rId750" o:title=""/>
            <o:lock v:ext="edit" aspectratio="t"/>
            <w10:wrap type="none"/>
            <w10:anchorlock/>
          </v:shape>
          <o:OLEObject Type="Embed" ProgID="Equation.3" ShapeID="_x0000_i1403" DrawAspect="Content" ObjectID="_1468076103" r:id="rId749">
            <o:LockedField>false</o:LockedField>
          </o:OLEObject>
        </w:objec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hint="eastAsia" w:ascii="宋体" w:hAnsi="宋体"/>
        </w:rPr>
        <w:t>资产i的特殊回报的预测方差</w:t>
      </w:r>
    </w:p>
    <w:p>
      <w:pPr>
        <w:ind w:firstLine="435"/>
        <w:rPr>
          <w:rFonts w:ascii="宋体" w:hAnsi="宋体"/>
        </w:rPr>
      </w:pPr>
      <w:r>
        <w:rPr>
          <w:rFonts w:ascii="宋体" w:hAnsi="宋体"/>
        </w:rPr>
        <w:t>N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hint="eastAsia" w:ascii="宋体" w:hAnsi="宋体"/>
        </w:rPr>
        <w:t>投资组合中资产的数目</w:t>
      </w:r>
    </w:p>
    <w:p>
      <w:pPr>
        <w:rPr>
          <w:rFonts w:ascii="宋体" w:hAnsi="宋体"/>
        </w:rPr>
      </w:pPr>
    </w:p>
    <w:p>
      <w:pPr>
        <w:pStyle w:val="4"/>
        <w:rPr>
          <w:rFonts w:cs="Arial"/>
          <w:szCs w:val="24"/>
          <w:lang w:eastAsia="zh-CN"/>
        </w:rPr>
      </w:pPr>
      <w:bookmarkStart w:id="109" w:name="_Toc12447"/>
      <w:r>
        <w:rPr>
          <w:rFonts w:cs="Arial"/>
          <w:szCs w:val="24"/>
          <w:lang w:eastAsia="zh-CN"/>
        </w:rPr>
        <w:t>5.2</w:t>
      </w:r>
      <w:r>
        <w:rPr>
          <w:rFonts w:hint="eastAsia" w:cs="Arial"/>
          <w:szCs w:val="24"/>
          <w:lang w:eastAsia="zh-CN"/>
        </w:rPr>
        <w:t>积极管理</w:t>
      </w:r>
      <w:bookmarkEnd w:id="109"/>
    </w:p>
    <w:p>
      <w:pPr>
        <w:pStyle w:val="6"/>
        <w:rPr>
          <w:rFonts w:ascii="宋体" w:hAnsi="宋体"/>
        </w:rPr>
      </w:pPr>
      <w:r>
        <w:rPr>
          <w:rFonts w:hint="eastAsia" w:ascii="宋体" w:hAnsi="宋体"/>
        </w:rPr>
        <w:t>预期积极管理回报</w:t>
      </w:r>
    </w:p>
    <w:p>
      <w:pPr>
        <w:jc w:val="center"/>
        <w:rPr>
          <w:rFonts w:ascii="宋体" w:hAnsi="宋体"/>
        </w:rPr>
      </w:pPr>
      <w:r>
        <w:rPr>
          <w:position w:val="-28"/>
        </w:rPr>
        <w:object>
          <v:shape id="_x0000_i1404" o:spt="75" type="#_x0000_t75" style="height:33.7pt;width:201.2pt;" o:ole="t" filled="f" o:preferrelative="t" stroked="f" coordsize="21600,21600">
            <v:path/>
            <v:fill on="f" focussize="0,0"/>
            <v:stroke on="f" joinstyle="miter"/>
            <v:imagedata r:id="rId752" o:title=""/>
            <o:lock v:ext="edit" aspectratio="t"/>
            <w10:wrap type="none"/>
            <w10:anchorlock/>
          </v:shape>
          <o:OLEObject Type="Embed" ProgID="Equation.3" ShapeID="_x0000_i1404" DrawAspect="Content" ObjectID="_1468076104" r:id="rId751">
            <o:LockedField>false</o:LockedField>
          </o:OLEObject>
        </w:objec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此处</w:t>
      </w:r>
    </w:p>
    <w:p>
      <w:pPr>
        <w:ind w:firstLine="420"/>
        <w:rPr>
          <w:rFonts w:ascii="宋体" w:hAnsi="宋体"/>
        </w:rPr>
      </w:pPr>
      <w:r>
        <w:rPr>
          <w:i/>
          <w:iCs/>
          <w:position w:val="-10"/>
        </w:rPr>
        <w:object>
          <v:shape id="_x0000_i1405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754" o:title=""/>
            <o:lock v:ext="edit" aspectratio="t"/>
            <w10:wrap type="none"/>
            <w10:anchorlock/>
          </v:shape>
          <o:OLEObject Type="Embed" ProgID="Equation.3" ShapeID="_x0000_i1405" DrawAspect="Content" ObjectID="_1468076105" r:id="rId753">
            <o:LockedField>false</o:LockedField>
          </o:OLEObject>
        </w:object>
      </w:r>
      <w:r>
        <w:rPr>
          <w:i/>
          <w:iCs/>
          <w:position w:val="-10"/>
        </w:rPr>
        <w:tab/>
      </w:r>
      <w:r>
        <w:rPr>
          <w:i/>
          <w:iCs/>
          <w:position w:val="-10"/>
        </w:rPr>
        <w:tab/>
      </w:r>
      <w:r>
        <w:rPr>
          <w:rFonts w:hint="eastAsia" w:ascii="宋体" w:hAnsi="宋体"/>
        </w:rPr>
        <w:t>投资组合的预期回报</w:t>
      </w:r>
    </w:p>
    <w:p>
      <w:pPr>
        <w:ind w:firstLine="420"/>
        <w:rPr>
          <w:rFonts w:ascii="宋体" w:hAnsi="宋体"/>
        </w:rPr>
      </w:pPr>
      <w:r>
        <w:rPr>
          <w:i/>
          <w:iCs/>
          <w:position w:val="-10"/>
        </w:rPr>
        <w:object>
          <v:shape id="_x0000_i1406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756" o:title=""/>
            <o:lock v:ext="edit" aspectratio="t"/>
            <w10:wrap type="none"/>
            <w10:anchorlock/>
          </v:shape>
          <o:OLEObject Type="Embed" ProgID="Equation.3" ShapeID="_x0000_i1406" DrawAspect="Content" ObjectID="_1468076106" r:id="rId755">
            <o:LockedField>false</o:LockedField>
          </o:OLEObject>
        </w:object>
      </w:r>
      <w:r>
        <w:rPr>
          <w:i/>
          <w:iCs/>
          <w:position w:val="-10"/>
        </w:rPr>
        <w:tab/>
      </w:r>
      <w:r>
        <w:rPr>
          <w:i/>
          <w:iCs/>
          <w:position w:val="-10"/>
        </w:rPr>
        <w:tab/>
      </w:r>
      <w:r>
        <w:rPr>
          <w:rFonts w:hint="eastAsia" w:ascii="宋体" w:hAnsi="宋体"/>
        </w:rPr>
        <w:t>投资基准的预期回报</w:t>
      </w:r>
    </w:p>
    <w:p>
      <w:pPr>
        <w:ind w:firstLine="420"/>
        <w:rPr>
          <w:rFonts w:ascii="宋体" w:hAnsi="宋体"/>
        </w:rPr>
      </w:pPr>
      <w:r>
        <w:rPr>
          <w:b/>
          <w:bCs/>
          <w:position w:val="-10"/>
        </w:rPr>
        <w:object>
          <v:shape id="_x0000_i1407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714" o:title=""/>
            <o:lock v:ext="edit" aspectratio="t"/>
            <w10:wrap type="none"/>
            <w10:anchorlock/>
          </v:shape>
          <o:OLEObject Type="Embed" ProgID="Equation.3" ShapeID="_x0000_i1407" DrawAspect="Content" ObjectID="_1468076107" r:id="rId757">
            <o:LockedField>false</o:LockedField>
          </o:OLEObject>
        </w:object>
      </w:r>
      <w:r>
        <w:rPr>
          <w:b/>
          <w:bCs/>
          <w:position w:val="-10"/>
        </w:rPr>
        <w:tab/>
      </w:r>
      <w:r>
        <w:rPr>
          <w:b/>
          <w:bCs/>
          <w:position w:val="-10"/>
        </w:rPr>
        <w:tab/>
      </w:r>
      <w:r>
        <w:rPr>
          <w:rFonts w:hint="eastAsia" w:ascii="宋体" w:hAnsi="宋体"/>
        </w:rPr>
        <w:t>资产i在投资组合中的比重</w:t>
      </w:r>
    </w:p>
    <w:p>
      <w:pPr>
        <w:ind w:firstLine="420"/>
        <w:rPr>
          <w:rFonts w:ascii="宋体" w:hAnsi="宋体"/>
        </w:rPr>
      </w:pPr>
      <w:r>
        <w:rPr>
          <w:b/>
          <w:bCs/>
          <w:position w:val="-10"/>
        </w:rPr>
        <w:object>
          <v:shape id="_x0000_i1408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737" o:title=""/>
            <o:lock v:ext="edit" aspectratio="t"/>
            <w10:wrap type="none"/>
            <w10:anchorlock/>
          </v:shape>
          <o:OLEObject Type="Embed" ProgID="Equation.3" ShapeID="_x0000_i1408" DrawAspect="Content" ObjectID="_1468076108" r:id="rId758">
            <o:LockedField>false</o:LockedField>
          </o:OLEObject>
        </w:object>
      </w:r>
      <w:r>
        <w:rPr>
          <w:b/>
          <w:bCs/>
          <w:position w:val="-10"/>
        </w:rPr>
        <w:tab/>
      </w:r>
      <w:r>
        <w:rPr>
          <w:b/>
          <w:bCs/>
          <w:position w:val="-10"/>
        </w:rPr>
        <w:tab/>
      </w:r>
      <w:r>
        <w:rPr>
          <w:rFonts w:hint="eastAsia" w:ascii="宋体" w:hAnsi="宋体"/>
        </w:rPr>
        <w:t>资产i在投资基准中的比重</w:t>
      </w:r>
    </w:p>
    <w:p>
      <w:pPr>
        <w:ind w:firstLine="420"/>
        <w:rPr>
          <w:rFonts w:ascii="宋体" w:hAnsi="宋体"/>
        </w:rPr>
      </w:pPr>
      <w:r>
        <w:rPr>
          <w:position w:val="-10"/>
        </w:rPr>
        <w:object>
          <v:shape id="_x0000_i1409" o:spt="75" type="#_x0000_t75" style="height:18.9pt;width:12.25pt;" o:ole="t" filled="f" o:preferrelative="t" stroked="f" coordsize="21600,21600">
            <v:path/>
            <v:fill on="f" focussize="0,0"/>
            <v:stroke on="f" joinstyle="miter"/>
            <v:imagedata r:id="rId760" o:title=""/>
            <o:lock v:ext="edit" aspectratio="t"/>
            <w10:wrap type="none"/>
            <w10:anchorlock/>
          </v:shape>
          <o:OLEObject Type="Embed" ProgID="Equation.3" ShapeID="_x0000_i1409" DrawAspect="Content" ObjectID="_1468076109" r:id="rId759">
            <o:LockedField>false</o:LockedField>
          </o:OLEObject>
        </w:objec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hint="eastAsia" w:ascii="宋体" w:hAnsi="宋体"/>
        </w:rPr>
        <w:t>资产i 的预期回报</w:t>
      </w:r>
    </w:p>
    <w:p>
      <w:pPr>
        <w:ind w:firstLine="420"/>
        <w:rPr>
          <w:rFonts w:ascii="宋体" w:hAnsi="宋体"/>
        </w:rPr>
      </w:pPr>
      <w:r>
        <w:rPr>
          <w:rFonts w:hint="eastAsia" w:ascii="宋体" w:hAnsi="宋体"/>
        </w:rPr>
        <w:t xml:space="preserve">N   </w:t>
      </w:r>
      <w:r>
        <w:rPr>
          <w:rFonts w:ascii="宋体" w:hAnsi="宋体"/>
        </w:rPr>
        <w:tab/>
      </w:r>
      <w:r>
        <w:rPr>
          <w:rFonts w:hint="eastAsia" w:ascii="宋体" w:hAnsi="宋体"/>
        </w:rPr>
        <w:t>投资组合中资产的数目</w:t>
      </w:r>
    </w:p>
    <w:p>
      <w:pPr>
        <w:rPr>
          <w:rFonts w:ascii="宋体" w:hAnsi="宋体"/>
        </w:rPr>
      </w:pPr>
    </w:p>
    <w:p>
      <w:pPr>
        <w:pStyle w:val="6"/>
      </w:pPr>
      <w:r>
        <w:rPr>
          <w:rFonts w:hint="eastAsia"/>
        </w:rPr>
        <w:t>预期跟踪误差</w:t>
      </w:r>
    </w:p>
    <w:p>
      <w:pPr>
        <w:ind w:firstLine="420"/>
        <w:jc w:val="center"/>
        <w:rPr>
          <w:rFonts w:ascii="宋体" w:hAnsi="宋体"/>
        </w:rPr>
      </w:pPr>
      <w:r>
        <w:rPr>
          <w:position w:val="-32"/>
        </w:rPr>
        <w:object>
          <v:shape id="_x0000_i1410" o:spt="75" type="#_x0000_t75" style="height:38.8pt;width:197.1pt;" o:ole="t" filled="f" o:preferrelative="t" stroked="f" coordsize="21600,21600">
            <v:path/>
            <v:fill on="f" focussize="0,0"/>
            <v:stroke on="f" joinstyle="miter"/>
            <v:imagedata r:id="rId762" o:title=""/>
            <o:lock v:ext="edit" aspectratio="t"/>
            <w10:wrap type="none"/>
            <w10:anchorlock/>
          </v:shape>
          <o:OLEObject Type="Embed" ProgID="Equation.3" ShapeID="_x0000_i1410" DrawAspect="Content" ObjectID="_1468076110" r:id="rId761">
            <o:LockedField>false</o:LockedField>
          </o:OLEObject>
        </w:objec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此处</w:t>
      </w:r>
    </w:p>
    <w:p>
      <w:pPr>
        <w:ind w:firstLine="420"/>
        <w:rPr>
          <w:rFonts w:ascii="宋体" w:hAnsi="宋体"/>
        </w:rPr>
      </w:pPr>
      <w:r>
        <w:rPr>
          <w:b/>
          <w:bCs/>
          <w:position w:val="-10"/>
        </w:rPr>
        <w:object>
          <v:shape id="_x0000_i1411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714" o:title=""/>
            <o:lock v:ext="edit" aspectratio="t"/>
            <w10:wrap type="none"/>
            <w10:anchorlock/>
          </v:shape>
          <o:OLEObject Type="Embed" ProgID="Equation.3" ShapeID="_x0000_i1411" DrawAspect="Content" ObjectID="_1468076111" r:id="rId763">
            <o:LockedField>false</o:LockedField>
          </o:OLEObject>
        </w:object>
      </w:r>
      <w:r>
        <w:rPr>
          <w:rFonts w:hint="eastAsia" w:ascii="宋体" w:hAnsi="宋体"/>
        </w:rPr>
        <w:t xml:space="preserve">         资产i在投资组合中的比重</w:t>
      </w:r>
    </w:p>
    <w:p>
      <w:pPr>
        <w:ind w:firstLine="420"/>
        <w:rPr>
          <w:rFonts w:ascii="宋体" w:hAnsi="宋体"/>
        </w:rPr>
      </w:pPr>
      <w:r>
        <w:rPr>
          <w:b/>
          <w:bCs/>
          <w:position w:val="-10"/>
        </w:rPr>
        <w:object>
          <v:shape id="_x0000_i1412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737" o:title=""/>
            <o:lock v:ext="edit" aspectratio="t"/>
            <w10:wrap type="none"/>
            <w10:anchorlock/>
          </v:shape>
          <o:OLEObject Type="Embed" ProgID="Equation.3" ShapeID="_x0000_i1412" DrawAspect="Content" ObjectID="_1468076112" r:id="rId764">
            <o:LockedField>false</o:LockedField>
          </o:OLEObject>
        </w:object>
      </w:r>
      <w:r>
        <w:rPr>
          <w:rFonts w:hint="eastAsia" w:ascii="宋体" w:hAnsi="宋体"/>
        </w:rPr>
        <w:t xml:space="preserve">         资产i在投资基准中的比重</w:t>
      </w:r>
    </w:p>
    <w:p>
      <w:pPr>
        <w:ind w:firstLine="420"/>
        <w:rPr>
          <w:rFonts w:ascii="宋体" w:hAnsi="宋体"/>
        </w:rPr>
      </w:pPr>
      <w:r>
        <w:rPr>
          <w:position w:val="-14"/>
          <w:vertAlign w:val="subscript"/>
        </w:rPr>
        <w:object>
          <v:shape id="_x0000_i1413" o:spt="75" type="#_x0000_t75" style="height:20.45pt;width:20.45pt;" o:ole="t" filled="f" o:preferrelative="t" stroked="f" coordsize="21600,21600">
            <v:path/>
            <v:fill on="f" focussize="0,0"/>
            <v:stroke on="f" joinstyle="miter"/>
            <v:imagedata r:id="rId766" o:title=""/>
            <o:lock v:ext="edit" aspectratio="t"/>
            <w10:wrap type="none"/>
            <w10:anchorlock/>
          </v:shape>
          <o:OLEObject Type="Embed" ProgID="Equation.3" ShapeID="_x0000_i1413" DrawAspect="Content" ObjectID="_1468076113" r:id="rId765">
            <o:LockedField>false</o:LockedField>
          </o:OLEObject>
        </w:object>
      </w:r>
      <w:r>
        <w:rPr>
          <w:rFonts w:hint="eastAsia" w:ascii="宋体" w:hAnsi="宋体"/>
        </w:rPr>
        <w:t xml:space="preserve">         资产i和j的回报率的协方差的预测值</w:t>
      </w:r>
    </w:p>
    <w:p>
      <w:pPr>
        <w:ind w:firstLine="420"/>
        <w:rPr>
          <w:rFonts w:ascii="宋体" w:hAnsi="宋体"/>
        </w:rPr>
      </w:pPr>
      <w:r>
        <w:rPr>
          <w:rFonts w:hint="eastAsia" w:ascii="宋体" w:hAnsi="宋体"/>
        </w:rPr>
        <w:t>N            投资组合中资产的数目</w:t>
      </w:r>
    </w:p>
    <w:p>
      <w:pPr>
        <w:rPr>
          <w:rFonts w:ascii="宋体" w:hAnsi="宋体"/>
        </w:rPr>
      </w:pPr>
    </w:p>
    <w:p>
      <w:pPr>
        <w:pStyle w:val="6"/>
      </w:pPr>
      <w:r>
        <w:rPr>
          <w:rFonts w:hint="eastAsia"/>
        </w:rPr>
        <w:t>信息比率</w:t>
      </w:r>
    </w:p>
    <w:p>
      <w:pPr>
        <w:jc w:val="center"/>
        <w:rPr>
          <w:rFonts w:ascii="宋体" w:hAnsi="宋体"/>
        </w:rPr>
      </w:pPr>
      <w:r>
        <w:rPr>
          <w:position w:val="-32"/>
        </w:rPr>
        <w:object>
          <v:shape id="_x0000_i1414" o:spt="75" type="#_x0000_t75" style="height:38.8pt;width:72pt;" o:ole="t" filled="t" o:preferrelative="t" stroked="f" coordsize="21600,21600">
            <v:path/>
            <v:fill on="t" focussize="0,0"/>
            <v:stroke on="f" joinstyle="miter"/>
            <v:imagedata r:id="rId768" o:title=""/>
            <o:lock v:ext="edit" aspectratio="t"/>
            <w10:wrap type="none"/>
            <w10:anchorlock/>
          </v:shape>
          <o:OLEObject Type="Embed" ProgID="Equation.3" ShapeID="_x0000_i1414" DrawAspect="Content" ObjectID="_1468076114" r:id="rId767">
            <o:LockedField>false</o:LockedField>
          </o:OLEObject>
        </w:objec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此处</w:t>
      </w:r>
    </w:p>
    <w:p>
      <w:pPr>
        <w:ind w:firstLine="420"/>
        <w:rPr>
          <w:rFonts w:ascii="宋体" w:hAnsi="宋体"/>
        </w:rPr>
      </w:pPr>
      <w:r>
        <w:rPr>
          <w:position w:val="-12"/>
        </w:rPr>
        <w:object>
          <v:shape id="_x0000_i1415" o:spt="75" type="#_x0000_t75" style="height:20.45pt;width:30.15pt;" o:ole="t" filled="f" o:preferrelative="t" stroked="f" coordsize="21600,21600">
            <v:path/>
            <v:fill on="f" focussize="0,0"/>
            <v:stroke on="f" joinstyle="miter"/>
            <v:imagedata r:id="rId770" o:title=""/>
            <o:lock v:ext="edit" aspectratio="t"/>
            <w10:wrap type="none"/>
            <w10:anchorlock/>
          </v:shape>
          <o:OLEObject Type="Embed" ProgID="Equation.3" ShapeID="_x0000_i1415" DrawAspect="Content" ObjectID="_1468076115" r:id="rId769">
            <o:LockedField>false</o:LockedField>
          </o:OLEObject>
        </w:object>
      </w:r>
      <w:r>
        <w:rPr>
          <w:rFonts w:hint="eastAsia"/>
          <w:position w:val="-12"/>
        </w:rPr>
        <w:t xml:space="preserve">     </w:t>
      </w:r>
      <w:r>
        <w:rPr>
          <w:position w:val="-12"/>
        </w:rPr>
        <w:tab/>
      </w:r>
      <w:r>
        <w:rPr>
          <w:rFonts w:hint="eastAsia" w:ascii="宋体" w:hAnsi="宋体"/>
        </w:rPr>
        <w:t>投资组合P对于投资基准B的信息比率</w:t>
      </w:r>
    </w:p>
    <w:p>
      <w:pPr>
        <w:ind w:firstLine="420"/>
        <w:rPr>
          <w:rFonts w:ascii="宋体" w:hAnsi="宋体"/>
        </w:rPr>
      </w:pPr>
      <w:r>
        <w:rPr>
          <w:position w:val="-12"/>
        </w:rPr>
        <w:object>
          <v:shape id="_x0000_i1416" o:spt="75" type="#_x0000_t75" style="height:20.45pt;width:26.05pt;" o:ole="t" filled="f" o:preferrelative="t" stroked="f" coordsize="21600,21600">
            <v:path/>
            <v:fill on="f" focussize="0,0"/>
            <v:stroke on="f" joinstyle="miter"/>
            <v:imagedata r:id="rId772" o:title=""/>
            <o:lock v:ext="edit" aspectratio="t"/>
            <w10:wrap type="none"/>
            <w10:anchorlock/>
          </v:shape>
          <o:OLEObject Type="Embed" ProgID="Equation.3" ShapeID="_x0000_i1416" DrawAspect="Content" ObjectID="_1468076116" r:id="rId771">
            <o:LockedField>false</o:LockedField>
          </o:OLEObject>
        </w:object>
      </w:r>
      <w:r>
        <w:rPr>
          <w:rFonts w:hint="eastAsia"/>
          <w:position w:val="-12"/>
        </w:rPr>
        <w:t xml:space="preserve">     </w:t>
      </w:r>
      <w:r>
        <w:rPr>
          <w:position w:val="-12"/>
        </w:rPr>
        <w:tab/>
      </w:r>
      <w:r>
        <w:rPr>
          <w:rFonts w:hint="eastAsia" w:ascii="宋体" w:hAnsi="宋体"/>
        </w:rPr>
        <w:t>投资组合的预期积极回报</w:t>
      </w:r>
    </w:p>
    <w:p>
      <w:pPr>
        <w:ind w:firstLine="420"/>
        <w:rPr>
          <w:rFonts w:ascii="宋体" w:hAnsi="宋体"/>
        </w:rPr>
      </w:pPr>
      <w:r>
        <w:rPr>
          <w:position w:val="-12"/>
        </w:rPr>
        <w:object>
          <v:shape id="_x0000_i1417" o:spt="75" type="#_x0000_t75" style="height:20.45pt;width:31.65pt;" o:ole="t" filled="f" o:preferrelative="t" stroked="f" coordsize="21600,21600">
            <v:path/>
            <v:fill on="f" focussize="0,0"/>
            <v:stroke on="f" joinstyle="miter"/>
            <v:imagedata r:id="rId774" o:title=""/>
            <o:lock v:ext="edit" aspectratio="t"/>
            <w10:wrap type="none"/>
            <w10:anchorlock/>
          </v:shape>
          <o:OLEObject Type="Embed" ProgID="Equation.3" ShapeID="_x0000_i1417" DrawAspect="Content" ObjectID="_1468076117" r:id="rId773">
            <o:LockedField>false</o:LockedField>
          </o:OLEObject>
        </w:objec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ab/>
      </w:r>
      <w:r>
        <w:rPr>
          <w:rFonts w:hint="eastAsia" w:ascii="宋体" w:hAnsi="宋体"/>
        </w:rPr>
        <w:t>预期跟踪误差</w:t>
      </w:r>
    </w:p>
    <w:p>
      <w:pPr>
        <w:rPr>
          <w:rFonts w:ascii="宋体" w:hAnsi="宋体"/>
        </w:rPr>
      </w:pPr>
    </w:p>
    <w:p>
      <w:pPr>
        <w:pStyle w:val="4"/>
        <w:rPr>
          <w:lang w:eastAsia="zh-CN"/>
        </w:rPr>
      </w:pPr>
      <w:bookmarkStart w:id="110" w:name="_Toc27221"/>
      <w:r>
        <w:rPr>
          <w:rFonts w:hint="eastAsia"/>
          <w:lang w:eastAsia="zh-CN"/>
        </w:rPr>
        <w:t>6</w:t>
      </w:r>
      <w:r>
        <w:rPr>
          <w:lang w:eastAsia="zh-CN"/>
        </w:rPr>
        <w:t xml:space="preserve">    </w:t>
      </w:r>
      <w:r>
        <w:rPr>
          <w:rFonts w:hint="eastAsia"/>
          <w:lang w:eastAsia="zh-CN"/>
        </w:rPr>
        <w:t>业绩测量</w:t>
      </w:r>
      <w:bookmarkEnd w:id="110"/>
    </w:p>
    <w:p>
      <w:pPr>
        <w:pStyle w:val="4"/>
        <w:rPr>
          <w:rFonts w:cs="Arial"/>
          <w:szCs w:val="24"/>
          <w:lang w:eastAsia="zh-CN"/>
        </w:rPr>
      </w:pPr>
      <w:bookmarkStart w:id="111" w:name="_Toc1712"/>
      <w:r>
        <w:rPr>
          <w:rFonts w:cs="Arial"/>
          <w:szCs w:val="24"/>
          <w:lang w:eastAsia="zh-CN"/>
        </w:rPr>
        <w:t xml:space="preserve">6.1   </w:t>
      </w:r>
      <w:r>
        <w:rPr>
          <w:rFonts w:hint="eastAsia" w:cs="Arial"/>
          <w:szCs w:val="24"/>
          <w:lang w:eastAsia="zh-CN"/>
        </w:rPr>
        <w:t>业绩测量和评估</w:t>
      </w:r>
      <w:bookmarkEnd w:id="111"/>
    </w:p>
    <w:p>
      <w:pPr>
        <w:rPr>
          <w:b/>
          <w:bCs/>
        </w:rPr>
      </w:pPr>
      <w:r>
        <w:rPr>
          <w:rFonts w:hint="eastAsia"/>
          <w:b/>
          <w:bCs/>
        </w:rPr>
        <w:t>6</w:t>
      </w:r>
      <w:r>
        <w:rPr>
          <w:b/>
          <w:bCs/>
        </w:rPr>
        <w:t xml:space="preserve">.1.1 </w:t>
      </w:r>
      <w:r>
        <w:rPr>
          <w:rFonts w:hint="eastAsia"/>
          <w:b/>
          <w:bCs/>
        </w:rPr>
        <w:t>风险-回报测量</w:t>
      </w:r>
    </w:p>
    <w:p/>
    <w:p>
      <w:pPr>
        <w:pStyle w:val="6"/>
      </w:pPr>
      <w:r>
        <w:rPr>
          <w:rFonts w:hint="eastAsia"/>
        </w:rPr>
        <w:t>内部报酬率（IRR）</w:t>
      </w:r>
    </w:p>
    <w:p>
      <w:pPr>
        <w:jc w:val="center"/>
        <w:rPr>
          <w:rFonts w:hAnsi="宋体"/>
        </w:rPr>
      </w:pPr>
      <w:r>
        <w:rPr>
          <w:position w:val="-30"/>
        </w:rPr>
        <w:object>
          <v:shape id="_x0000_i1418" o:spt="75" type="#_x0000_t75" style="height:33.7pt;width:92.45pt;" o:ole="t" filled="f" o:preferrelative="t" stroked="f" coordsize="21600,21600">
            <v:path/>
            <v:fill on="f" focussize="0,0"/>
            <v:stroke on="f" joinstyle="miter"/>
            <v:imagedata r:id="rId776" o:title=""/>
            <o:lock v:ext="edit" aspectratio="t"/>
            <w10:wrap type="none"/>
            <w10:anchorlock/>
          </v:shape>
          <o:OLEObject Type="Embed" ProgID="Equation.3" ShapeID="_x0000_i1418" DrawAspect="Content" ObjectID="_1468076118" r:id="rId775">
            <o:LockedField>false</o:LockedField>
          </o:OLEObject>
        </w:object>
      </w:r>
    </w:p>
    <w:p>
      <w:pPr>
        <w:rPr>
          <w:rFonts w:hAnsi="宋体"/>
        </w:rPr>
      </w:pPr>
      <w:r>
        <w:rPr>
          <w:rFonts w:hint="eastAsia" w:hAnsi="宋体"/>
        </w:rPr>
        <w:t>此处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CF</w:t>
      </w:r>
      <w:r>
        <w:rPr>
          <w:rFonts w:hint="eastAsia" w:hAnsi="宋体"/>
          <w:szCs w:val="21"/>
          <w:vertAlign w:val="subscript"/>
        </w:rPr>
        <w:t xml:space="preserve">0 </w:t>
      </w:r>
      <w:r>
        <w:rPr>
          <w:rFonts w:hAnsi="宋体"/>
          <w:szCs w:val="21"/>
          <w:vertAlign w:val="subscript"/>
        </w:rPr>
        <w:tab/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初始净现金流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CF</w:t>
      </w:r>
      <w:r>
        <w:rPr>
          <w:rFonts w:hint="eastAsia" w:hAnsi="宋体"/>
          <w:szCs w:val="21"/>
          <w:vertAlign w:val="subscript"/>
        </w:rPr>
        <w:t>t</w:t>
      </w:r>
      <w:r>
        <w:rPr>
          <w:rFonts w:hint="eastAsia" w:hAnsi="宋体"/>
        </w:rPr>
        <w:t xml:space="preserve">t </w:t>
      </w:r>
      <w:r>
        <w:rPr>
          <w:rFonts w:hAnsi="宋体"/>
        </w:rPr>
        <w:tab/>
      </w:r>
      <w:r>
        <w:rPr>
          <w:rFonts w:hint="eastAsia" w:hAnsi="宋体"/>
        </w:rPr>
        <w:t>期末时净现金流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 xml:space="preserve">IRR </w:t>
      </w:r>
      <w:r>
        <w:rPr>
          <w:rFonts w:hAnsi="宋体"/>
        </w:rPr>
        <w:tab/>
      </w:r>
      <w:r>
        <w:rPr>
          <w:rFonts w:hint="eastAsia" w:hAnsi="宋体"/>
        </w:rPr>
        <w:t>内部报酬率（每期）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 xml:space="preserve">N   </w:t>
      </w:r>
      <w:r>
        <w:rPr>
          <w:rFonts w:hAnsi="宋体"/>
        </w:rPr>
        <w:tab/>
      </w:r>
      <w:r>
        <w:rPr>
          <w:rFonts w:hint="eastAsia" w:hAnsi="宋体"/>
        </w:rPr>
        <w:t>期数</w:t>
      </w:r>
    </w:p>
    <w:p>
      <w:pPr>
        <w:ind w:firstLine="435"/>
        <w:rPr>
          <w:rFonts w:hAnsi="宋体"/>
        </w:rPr>
      </w:pPr>
    </w:p>
    <w:p>
      <w:pPr>
        <w:pStyle w:val="6"/>
      </w:pPr>
      <w:r>
        <w:rPr>
          <w:rFonts w:hint="eastAsia"/>
        </w:rPr>
        <w:t>时间加权回报率（TWR）</w:t>
      </w:r>
    </w:p>
    <w:p>
      <w:pPr>
        <w:pStyle w:val="6"/>
        <w:rPr>
          <w:rFonts w:hAnsi="宋体"/>
        </w:rPr>
      </w:pPr>
      <w:r>
        <w:rPr>
          <w:rFonts w:hint="eastAsia" w:hAnsi="宋体"/>
        </w:rPr>
        <w:t>单利回报率</w:t>
      </w:r>
    </w:p>
    <w:p>
      <w:pPr>
        <w:jc w:val="center"/>
        <w:rPr>
          <w:rFonts w:hAnsi="宋体"/>
        </w:rPr>
      </w:pPr>
      <w:r>
        <w:rPr>
          <w:position w:val="-34"/>
        </w:rPr>
        <w:object>
          <v:shape id="_x0000_i1419" o:spt="75" type="#_x0000_t75" style="height:38.8pt;width:240pt;" o:ole="t" filled="f" o:preferrelative="t" stroked="f" coordsize="21600,21600">
            <v:path/>
            <v:fill on="f" focussize="0,0"/>
            <v:stroke on="f" joinstyle="miter"/>
            <v:imagedata r:id="rId778" o:title=""/>
            <o:lock v:ext="edit" aspectratio="t"/>
            <w10:wrap type="none"/>
            <w10:anchorlock/>
          </v:shape>
          <o:OLEObject Type="Embed" ProgID="Equation.3" ShapeID="_x0000_i1419" DrawAspect="Content" ObjectID="_1468076119" r:id="rId777">
            <o:LockedField>false</o:LockedField>
          </o:OLEObject>
        </w:object>
      </w:r>
    </w:p>
    <w:p>
      <w:pPr>
        <w:rPr>
          <w:rFonts w:hAnsi="宋体"/>
        </w:rPr>
      </w:pPr>
      <w:r>
        <w:rPr>
          <w:rFonts w:hint="eastAsia" w:hAnsi="宋体"/>
        </w:rPr>
        <w:t>此处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TWR</w:t>
      </w:r>
      <w:r>
        <w:rPr>
          <w:rFonts w:hint="eastAsia" w:hAnsi="宋体"/>
          <w:szCs w:val="21"/>
          <w:vertAlign w:val="subscript"/>
        </w:rPr>
        <w:t xml:space="preserve">t/t-1    </w:t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亚期t期间简单时间加权回报率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MV</w:t>
      </w:r>
      <w:r>
        <w:rPr>
          <w:rFonts w:hint="eastAsia" w:hAnsi="宋体"/>
          <w:szCs w:val="21"/>
          <w:vertAlign w:val="subscript"/>
        </w:rPr>
        <w:t xml:space="preserve">begin,t    </w:t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亚期t初的市场价值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MV</w:t>
      </w:r>
      <w:r>
        <w:rPr>
          <w:rFonts w:hint="eastAsia" w:hAnsi="宋体"/>
          <w:szCs w:val="21"/>
          <w:vertAlign w:val="subscript"/>
        </w:rPr>
        <w:t xml:space="preserve">end,t      </w:t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亚期t末的市场价值</w:t>
      </w:r>
    </w:p>
    <w:p>
      <w:pPr>
        <w:rPr>
          <w:rFonts w:hAnsi="宋体"/>
        </w:rPr>
      </w:pPr>
    </w:p>
    <w:p>
      <w:pPr>
        <w:pStyle w:val="6"/>
      </w:pPr>
      <w:r>
        <w:rPr>
          <w:rFonts w:hint="eastAsia"/>
        </w:rPr>
        <w:t>连续复利回报率</w:t>
      </w:r>
    </w:p>
    <w:p>
      <w:pPr>
        <w:jc w:val="center"/>
        <w:rPr>
          <w:rFonts w:hAnsi="宋体"/>
        </w:rPr>
      </w:pPr>
      <w:r>
        <w:rPr>
          <w:position w:val="-34"/>
        </w:rPr>
        <w:object>
          <v:shape id="_x0000_i1420" o:spt="75" type="#_x0000_t75" style="height:38.8pt;width:110.8pt;" o:ole="t" filled="f" o:preferrelative="t" stroked="f" coordsize="21600,21600">
            <v:path/>
            <v:fill on="f" focussize="0,0"/>
            <v:stroke on="f" joinstyle="miter"/>
            <v:imagedata r:id="rId780" o:title=""/>
            <o:lock v:ext="edit" aspectratio="t"/>
            <w10:wrap type="none"/>
            <w10:anchorlock/>
          </v:shape>
          <o:OLEObject Type="Embed" ProgID="Equation.3" ShapeID="_x0000_i1420" DrawAspect="Content" ObjectID="_1468076120" r:id="rId779">
            <o:LockedField>false</o:LockedField>
          </o:OLEObject>
        </w:object>
      </w:r>
    </w:p>
    <w:p>
      <w:pPr>
        <w:rPr>
          <w:rFonts w:hAnsi="宋体"/>
        </w:rPr>
      </w:pPr>
      <w:r>
        <w:rPr>
          <w:rFonts w:hint="eastAsia" w:hAnsi="宋体"/>
        </w:rPr>
        <w:t>此处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twr</w:t>
      </w:r>
      <w:r>
        <w:rPr>
          <w:rFonts w:hint="eastAsia" w:hAnsi="宋体"/>
          <w:szCs w:val="21"/>
          <w:vertAlign w:val="subscript"/>
        </w:rPr>
        <w:t xml:space="preserve">t/t-1  </w:t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亚期t期间连续复利时间加权回报率</w:t>
      </w:r>
    </w:p>
    <w:p>
      <w:pPr>
        <w:rPr>
          <w:rFonts w:hAnsi="宋体"/>
        </w:rPr>
      </w:pPr>
    </w:p>
    <w:p>
      <w:pPr>
        <w:pStyle w:val="6"/>
      </w:pPr>
      <w:r>
        <w:rPr>
          <w:rFonts w:hint="eastAsia"/>
        </w:rPr>
        <w:t>整个时期单利回报率</w:t>
      </w:r>
    </w:p>
    <w:p>
      <w:pPr>
        <w:jc w:val="center"/>
        <w:rPr>
          <w:rFonts w:hAnsi="宋体"/>
        </w:rPr>
      </w:pPr>
      <w:r>
        <w:rPr>
          <w:position w:val="-32"/>
        </w:rPr>
        <w:object>
          <v:shape id="_x0000_i1421" o:spt="75" type="#_x0000_t75" style="height:38.8pt;width:152.15pt;" o:ole="t" filled="f" o:preferrelative="t" stroked="f" coordsize="21600,21600">
            <v:path/>
            <v:fill on="f" focussize="0,0"/>
            <v:stroke on="f" joinstyle="miter"/>
            <v:imagedata r:id="rId782" o:title=""/>
            <o:lock v:ext="edit" aspectratio="t"/>
            <w10:wrap type="none"/>
            <w10:anchorlock/>
          </v:shape>
          <o:OLEObject Type="Embed" ProgID="Equation.3" ShapeID="_x0000_i1421" DrawAspect="Content" ObjectID="_1468076121" r:id="rId781">
            <o:LockedField>false</o:LockedField>
          </o:OLEObject>
        </w:object>
      </w:r>
    </w:p>
    <w:p>
      <w:pPr>
        <w:rPr>
          <w:rFonts w:hAnsi="宋体"/>
        </w:rPr>
      </w:pPr>
      <w:r>
        <w:rPr>
          <w:rFonts w:hint="eastAsia" w:hAnsi="宋体"/>
        </w:rPr>
        <w:t>此处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TWR</w:t>
      </w:r>
      <w:r>
        <w:rPr>
          <w:rFonts w:hint="eastAsia" w:hAnsi="宋体"/>
          <w:szCs w:val="21"/>
          <w:vertAlign w:val="subscript"/>
        </w:rPr>
        <w:t xml:space="preserve">tot    </w:t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整个时期简单时间加权回报率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TWR</w:t>
      </w:r>
      <w:r>
        <w:rPr>
          <w:rFonts w:hint="eastAsia" w:hAnsi="宋体"/>
          <w:szCs w:val="21"/>
          <w:vertAlign w:val="subscript"/>
        </w:rPr>
        <w:t xml:space="preserve">t/t-1   </w:t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亚期t期间简单时间加权回报率</w:t>
      </w:r>
    </w:p>
    <w:p>
      <w:pPr>
        <w:rPr>
          <w:rFonts w:hAnsi="宋体"/>
        </w:rPr>
      </w:pPr>
    </w:p>
    <w:p>
      <w:pPr>
        <w:pStyle w:val="6"/>
      </w:pPr>
      <w:r>
        <w:rPr>
          <w:rFonts w:hint="eastAsia"/>
        </w:rPr>
        <w:t>整个时期复利回报率</w:t>
      </w:r>
    </w:p>
    <w:p>
      <w:pPr>
        <w:jc w:val="center"/>
        <w:rPr>
          <w:rFonts w:hAnsi="宋体"/>
        </w:rPr>
      </w:pPr>
      <w:r>
        <w:rPr>
          <w:position w:val="-30"/>
        </w:rPr>
        <w:object>
          <v:shape id="_x0000_i1422" o:spt="75" type="#_x0000_t75" style="height:36.75pt;width:93.95pt;" o:ole="t" filled="f" o:preferrelative="t" stroked="f" coordsize="21600,21600">
            <v:path/>
            <v:fill on="f" focussize="0,0"/>
            <v:stroke on="f" joinstyle="miter"/>
            <v:imagedata r:id="rId784" o:title=""/>
            <o:lock v:ext="edit" aspectratio="t"/>
            <w10:wrap type="none"/>
            <w10:anchorlock/>
          </v:shape>
          <o:OLEObject Type="Embed" ProgID="Equation.3" ShapeID="_x0000_i1422" DrawAspect="Content" ObjectID="_1468076122" r:id="rId783">
            <o:LockedField>false</o:LockedField>
          </o:OLEObject>
        </w:object>
      </w:r>
    </w:p>
    <w:p>
      <w:pPr>
        <w:rPr>
          <w:rFonts w:hAnsi="宋体"/>
        </w:rPr>
      </w:pPr>
      <w:r>
        <w:rPr>
          <w:rFonts w:hint="eastAsia" w:hAnsi="宋体"/>
        </w:rPr>
        <w:t>此处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twr</w:t>
      </w:r>
      <w:r>
        <w:rPr>
          <w:rFonts w:hint="eastAsia" w:hAnsi="宋体"/>
          <w:szCs w:val="21"/>
          <w:vertAlign w:val="subscript"/>
        </w:rPr>
        <w:t xml:space="preserve">tot </w:t>
      </w:r>
      <w:r>
        <w:rPr>
          <w:rFonts w:hAnsi="宋体"/>
          <w:szCs w:val="21"/>
          <w:vertAlign w:val="subscript"/>
        </w:rPr>
        <w:tab/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整个时期连续复利时间加权回报率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twr</w:t>
      </w:r>
      <w:r>
        <w:rPr>
          <w:rFonts w:hint="eastAsia" w:hAnsi="宋体"/>
          <w:szCs w:val="21"/>
          <w:vertAlign w:val="subscript"/>
        </w:rPr>
        <w:t xml:space="preserve">t/t-1 </w:t>
      </w:r>
      <w:r>
        <w:rPr>
          <w:rFonts w:hAnsi="宋体"/>
          <w:szCs w:val="21"/>
          <w:vertAlign w:val="subscript"/>
        </w:rPr>
        <w:tab/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亚期t期间连续复利时间加权回报率</w:t>
      </w:r>
    </w:p>
    <w:p>
      <w:pPr>
        <w:pStyle w:val="6"/>
      </w:pPr>
    </w:p>
    <w:p>
      <w:pPr>
        <w:pStyle w:val="6"/>
        <w:rPr>
          <w:rFonts w:hAnsi="宋体"/>
        </w:rPr>
      </w:pPr>
      <w:r>
        <w:rPr>
          <w:rFonts w:hint="eastAsia" w:hAnsi="宋体"/>
        </w:rPr>
        <w:t>投资组合中发生的获利/损失</w:t>
      </w:r>
    </w:p>
    <w:p>
      <w:pPr>
        <w:jc w:val="center"/>
        <w:rPr>
          <w:i/>
          <w:iCs/>
        </w:rPr>
      </w:pPr>
      <w:r>
        <w:rPr>
          <w:rFonts w:hint="eastAsia"/>
          <w:i/>
          <w:iCs/>
        </w:rPr>
        <w:t>获利</w:t>
      </w:r>
      <w:r>
        <w:rPr>
          <w:i/>
          <w:iCs/>
        </w:rPr>
        <w:t>= (</w:t>
      </w:r>
      <w:r>
        <w:rPr>
          <w:rFonts w:hint="eastAsia"/>
          <w:i/>
          <w:iCs/>
        </w:rPr>
        <w:t>期末市值</w:t>
      </w:r>
      <w:r>
        <w:rPr>
          <w:i/>
          <w:iCs/>
        </w:rPr>
        <w:sym w:font="Symbol" w:char="F02D"/>
      </w:r>
      <w:r>
        <w:rPr>
          <w:rFonts w:hint="eastAsia"/>
          <w:i/>
          <w:iCs/>
        </w:rPr>
        <w:t>期初市值</w:t>
      </w:r>
      <w:r>
        <w:rPr>
          <w:i/>
          <w:iCs/>
        </w:rPr>
        <w:t xml:space="preserve">) </w:t>
      </w:r>
      <w:r>
        <w:rPr>
          <w:i/>
          <w:iCs/>
        </w:rPr>
        <w:sym w:font="Symbol" w:char="F02D"/>
      </w:r>
      <w:r>
        <w:rPr>
          <w:rFonts w:hint="eastAsia"/>
          <w:i/>
          <w:iCs/>
        </w:rPr>
        <w:t>净现金流</w:t>
      </w:r>
    </w:p>
    <w:p>
      <w:pPr>
        <w:jc w:val="center"/>
        <w:rPr>
          <w:rFonts w:hAnsi="宋体"/>
        </w:rPr>
      </w:pPr>
    </w:p>
    <w:p>
      <w:pPr>
        <w:pStyle w:val="6"/>
      </w:pPr>
      <w:r>
        <w:rPr>
          <w:rFonts w:hint="eastAsia"/>
        </w:rPr>
        <w:t>净现金流（NCF）</w:t>
      </w:r>
    </w:p>
    <w:p>
      <w:pPr>
        <w:jc w:val="center"/>
        <w:rPr>
          <w:rFonts w:hAnsi="宋体"/>
        </w:rPr>
      </w:pPr>
      <w:r>
        <w:rPr>
          <w:i/>
          <w:iCs/>
        </w:rPr>
        <w:t>NCF = (</w:t>
      </w:r>
      <w:r>
        <w:rPr/>
        <w:sym w:font="Symbol" w:char="F0E5"/>
      </w:r>
      <w:r>
        <w:rPr>
          <w:i/>
          <w:iCs/>
        </w:rPr>
        <w:t>C</w:t>
      </w:r>
      <w:r>
        <w:rPr>
          <w:i/>
          <w:iCs/>
          <w:vertAlign w:val="subscript"/>
        </w:rPr>
        <w:t>t</w:t>
      </w:r>
      <w:r>
        <w:rPr>
          <w:i/>
          <w:iCs/>
        </w:rPr>
        <w:t xml:space="preserve"> + </w:t>
      </w:r>
      <w:r>
        <w:rPr/>
        <w:sym w:font="Symbol" w:char="F0E5"/>
      </w:r>
      <w:r>
        <w:rPr>
          <w:i/>
          <w:iCs/>
        </w:rPr>
        <w:t xml:space="preserve"> P</w:t>
      </w:r>
      <w:r>
        <w:rPr>
          <w:i/>
          <w:iCs/>
          <w:vertAlign w:val="subscript"/>
        </w:rPr>
        <w:t>t</w:t>
      </w:r>
      <w:r>
        <w:rPr>
          <w:i/>
          <w:iCs/>
        </w:rPr>
        <w:t xml:space="preserve"> + </w:t>
      </w:r>
      <w:r>
        <w:rPr/>
        <w:sym w:font="Symbol" w:char="F0E5"/>
      </w:r>
      <w:r>
        <w:rPr>
          <w:i/>
          <w:iCs/>
        </w:rPr>
        <w:t>E</w:t>
      </w:r>
      <w:r>
        <w:rPr>
          <w:i/>
          <w:iCs/>
          <w:vertAlign w:val="subscript"/>
        </w:rPr>
        <w:t>t</w:t>
      </w:r>
      <w:r>
        <w:rPr>
          <w:i/>
          <w:iCs/>
        </w:rPr>
        <w:t xml:space="preserve">) </w:t>
      </w:r>
      <w:r>
        <w:rPr>
          <w:i/>
          <w:iCs/>
        </w:rPr>
        <w:sym w:font="Symbol" w:char="F02D"/>
      </w:r>
      <w:r>
        <w:rPr>
          <w:i/>
          <w:iCs/>
        </w:rPr>
        <w:t xml:space="preserve"> (</w:t>
      </w:r>
      <w:r>
        <w:rPr/>
        <w:sym w:font="Symbol" w:char="F0E5"/>
      </w:r>
      <w:r>
        <w:rPr>
          <w:i/>
          <w:iCs/>
        </w:rPr>
        <w:t>W</w:t>
      </w:r>
      <w:r>
        <w:rPr>
          <w:i/>
          <w:iCs/>
          <w:vertAlign w:val="subscript"/>
        </w:rPr>
        <w:t>t</w:t>
      </w:r>
      <w:r>
        <w:rPr>
          <w:i/>
          <w:iCs/>
        </w:rPr>
        <w:t xml:space="preserve"> + </w:t>
      </w:r>
      <w:r>
        <w:rPr/>
        <w:sym w:font="Symbol" w:char="F0E5"/>
      </w:r>
      <w:r>
        <w:rPr>
          <w:i/>
          <w:iCs/>
        </w:rPr>
        <w:t xml:space="preserve"> S</w:t>
      </w:r>
      <w:r>
        <w:rPr>
          <w:i/>
          <w:iCs/>
          <w:vertAlign w:val="subscript"/>
        </w:rPr>
        <w:t>t</w:t>
      </w:r>
      <w:r>
        <w:rPr>
          <w:i/>
          <w:iCs/>
        </w:rPr>
        <w:t xml:space="preserve"> + </w:t>
      </w:r>
      <w:r>
        <w:rPr/>
        <w:sym w:font="Symbol" w:char="F0E5"/>
      </w:r>
      <w:r>
        <w:rPr>
          <w:i/>
          <w:iCs/>
        </w:rPr>
        <w:t xml:space="preserve"> D</w:t>
      </w:r>
      <w:r>
        <w:rPr>
          <w:i/>
          <w:iCs/>
          <w:vertAlign w:val="subscript"/>
        </w:rPr>
        <w:t>t</w:t>
      </w:r>
      <w:r>
        <w:rPr>
          <w:i/>
          <w:iCs/>
        </w:rPr>
        <w:t xml:space="preserve"> + </w:t>
      </w:r>
      <w:r>
        <w:rPr/>
        <w:sym w:font="Symbol" w:char="F0E5"/>
      </w:r>
      <w:r>
        <w:rPr>
          <w:i/>
          <w:iCs/>
        </w:rPr>
        <w:t>R</w:t>
      </w:r>
      <w:r>
        <w:rPr>
          <w:i/>
          <w:iCs/>
          <w:vertAlign w:val="subscript"/>
        </w:rPr>
        <w:t>t</w:t>
      </w:r>
      <w:r>
        <w:rPr>
          <w:i/>
          <w:iCs/>
        </w:rPr>
        <w:t>)</w:t>
      </w:r>
    </w:p>
    <w:p>
      <w:pPr>
        <w:rPr>
          <w:rFonts w:hAnsi="宋体"/>
        </w:rPr>
      </w:pPr>
      <w:r>
        <w:rPr>
          <w:rFonts w:hint="eastAsia" w:hAnsi="宋体"/>
        </w:rPr>
        <w:t>此处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C</w:t>
      </w:r>
      <w:r>
        <w:rPr>
          <w:rFonts w:hAnsi="宋体"/>
          <w:szCs w:val="21"/>
          <w:vertAlign w:val="subscript"/>
        </w:rPr>
        <w:t>t</w:t>
      </w:r>
      <w:r>
        <w:rPr>
          <w:rFonts w:hint="eastAsia" w:hAnsi="宋体"/>
          <w:szCs w:val="21"/>
          <w:vertAlign w:val="subscript"/>
        </w:rPr>
        <w:t xml:space="preserve">     </w:t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有效贡献（投入）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P</w:t>
      </w:r>
      <w:r>
        <w:rPr>
          <w:rFonts w:hint="eastAsia" w:hAnsi="宋体"/>
          <w:szCs w:val="21"/>
          <w:vertAlign w:val="subscript"/>
        </w:rPr>
        <w:t xml:space="preserve">t     </w:t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购买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E</w:t>
      </w:r>
      <w:r>
        <w:rPr>
          <w:rFonts w:hint="eastAsia" w:hAnsi="宋体"/>
          <w:szCs w:val="21"/>
          <w:vertAlign w:val="subscript"/>
        </w:rPr>
        <w:t xml:space="preserve">t     </w:t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非物质贡献，以其产生的开支来测量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W</w:t>
      </w:r>
      <w:r>
        <w:rPr>
          <w:rFonts w:hint="eastAsia" w:hAnsi="宋体"/>
          <w:szCs w:val="21"/>
          <w:vertAlign w:val="subscript"/>
        </w:rPr>
        <w:t xml:space="preserve">t    </w:t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有效赎回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S</w:t>
      </w:r>
      <w:r>
        <w:rPr>
          <w:rFonts w:hint="eastAsia" w:hAnsi="宋体"/>
          <w:szCs w:val="21"/>
          <w:vertAlign w:val="subscript"/>
        </w:rPr>
        <w:t xml:space="preserve">t     </w:t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销售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D</w:t>
      </w:r>
      <w:r>
        <w:rPr>
          <w:rFonts w:hint="eastAsia" w:hAnsi="宋体"/>
          <w:szCs w:val="21"/>
          <w:vertAlign w:val="subscript"/>
        </w:rPr>
        <w:t xml:space="preserve">t     </w:t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净股利或其他收益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R</w:t>
      </w:r>
      <w:r>
        <w:rPr>
          <w:rFonts w:hint="eastAsia" w:hAnsi="宋体"/>
          <w:szCs w:val="21"/>
          <w:vertAlign w:val="subscript"/>
        </w:rPr>
        <w:t xml:space="preserve">t     </w:t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可再申报的税收</w:t>
      </w:r>
    </w:p>
    <w:p>
      <w:pPr>
        <w:rPr>
          <w:rFonts w:hAnsi="宋体"/>
        </w:rPr>
      </w:pPr>
    </w:p>
    <w:p>
      <w:pPr>
        <w:pStyle w:val="6"/>
      </w:pPr>
      <w:r>
        <w:rPr>
          <w:rFonts w:hint="eastAsia"/>
        </w:rPr>
        <w:t>平均投资资本（AIC ）</w:t>
      </w:r>
    </w:p>
    <w:p>
      <w:pPr>
        <w:jc w:val="center"/>
        <w:rPr>
          <w:rFonts w:hAnsi="宋体"/>
        </w:rPr>
      </w:pPr>
      <w:r>
        <w:rPr>
          <w:rFonts w:hint="eastAsia" w:hAnsi="宋体"/>
        </w:rPr>
        <w:t>平均投资资本 = 期初市值 + 加权平均现金流</w:t>
      </w:r>
    </w:p>
    <w:p>
      <w:pPr>
        <w:jc w:val="center"/>
        <w:rPr>
          <w:rFonts w:hAnsi="宋体"/>
        </w:rPr>
      </w:pPr>
      <w:r>
        <w:rPr>
          <w:i/>
          <w:iCs/>
          <w:lang w:val="it-IT"/>
        </w:rPr>
        <w:t xml:space="preserve">AIC </w:t>
      </w:r>
      <w:r>
        <w:rPr>
          <w:lang w:val="it-IT"/>
        </w:rPr>
        <w:t xml:space="preserve">= </w:t>
      </w:r>
      <w:r>
        <w:rPr>
          <w:position w:val="-24"/>
        </w:rPr>
        <w:object>
          <v:shape id="_x0000_i1423" o:spt="75" type="#_x0000_t75" style="height:31.65pt;width:96pt;" o:ole="t" filled="f" o:preferrelative="t" stroked="f" coordsize="21600,21600">
            <v:path/>
            <v:fill on="f" focussize="0,0"/>
            <v:stroke on="f" joinstyle="miter"/>
            <v:imagedata r:id="rId786" o:title=""/>
            <o:lock v:ext="edit" aspectratio="t"/>
            <w10:wrap type="none"/>
            <w10:anchorlock/>
          </v:shape>
          <o:OLEObject Type="Embed" ProgID="Equation.3" ShapeID="_x0000_i1423" DrawAspect="Content" ObjectID="_1468076123" r:id="rId785">
            <o:LockedField>false</o:LockedField>
          </o:OLEObject>
        </w:object>
      </w:r>
    </w:p>
    <w:p>
      <w:pPr>
        <w:rPr>
          <w:rFonts w:hAnsi="宋体"/>
        </w:rPr>
      </w:pPr>
      <w:r>
        <w:rPr>
          <w:rFonts w:hint="eastAsia" w:hAnsi="宋体"/>
        </w:rPr>
        <w:t>此处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AIC       平均投资资本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MV</w:t>
      </w:r>
      <w:r>
        <w:rPr>
          <w:rFonts w:hint="eastAsia" w:hAnsi="宋体"/>
          <w:szCs w:val="21"/>
          <w:vertAlign w:val="subscript"/>
        </w:rPr>
        <w:t xml:space="preserve">begin       </w:t>
      </w:r>
      <w:r>
        <w:rPr>
          <w:rFonts w:hint="eastAsia" w:hAnsi="宋体"/>
        </w:rPr>
        <w:t>期初市值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NCF       净现金流</w:t>
      </w:r>
    </w:p>
    <w:p>
      <w:pPr>
        <w:rPr>
          <w:rFonts w:hAnsi="宋体"/>
        </w:rPr>
      </w:pPr>
    </w:p>
    <w:p>
      <w:pPr>
        <w:pStyle w:val="6"/>
      </w:pPr>
      <w:r>
        <w:rPr>
          <w:rFonts w:hint="eastAsia"/>
          <w:u w:val="single"/>
        </w:rPr>
        <w:t>迪茨</w:t>
      </w:r>
      <w:r>
        <w:rPr>
          <w:rFonts w:hint="eastAsia"/>
        </w:rPr>
        <w:t>公式</w:t>
      </w:r>
    </w:p>
    <w:p>
      <w:pPr>
        <w:jc w:val="center"/>
        <w:rPr>
          <w:rFonts w:hAnsi="宋体"/>
        </w:rPr>
      </w:pPr>
      <w:r>
        <w:rPr>
          <w:i/>
          <w:iCs/>
          <w:lang w:val="it-IT"/>
        </w:rPr>
        <w:t>MWR</w:t>
      </w:r>
      <w:r>
        <w:rPr>
          <w:lang w:val="it-IT"/>
        </w:rPr>
        <w:t xml:space="preserve"> =</w:t>
      </w:r>
      <w:r>
        <w:rPr>
          <w:position w:val="-56"/>
        </w:rPr>
        <w:object>
          <v:shape id="_x0000_i1424" o:spt="75" type="#_x0000_t75" style="height:51.05pt;width:138.9pt;" o:ole="t" filled="f" o:preferrelative="t" stroked="f" coordsize="21600,21600">
            <v:path/>
            <v:fill on="f" focussize="0,0"/>
            <v:stroke on="f" joinstyle="miter"/>
            <v:imagedata r:id="rId788" o:title=""/>
            <o:lock v:ext="edit" aspectratio="t"/>
            <w10:wrap type="none"/>
            <w10:anchorlock/>
          </v:shape>
          <o:OLEObject Type="Embed" ProgID="Equation.3" ShapeID="_x0000_i1424" DrawAspect="Content" ObjectID="_1468076124" r:id="rId787">
            <o:LockedField>false</o:LockedField>
          </o:OLEObject>
        </w:object>
      </w:r>
    </w:p>
    <w:p>
      <w:pPr>
        <w:rPr>
          <w:rFonts w:hAnsi="宋体"/>
        </w:rPr>
      </w:pPr>
      <w:r>
        <w:rPr>
          <w:rFonts w:hint="eastAsia" w:hAnsi="宋体"/>
        </w:rPr>
        <w:t>此处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MWR     价值加权回报率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MV</w:t>
      </w:r>
      <w:r>
        <w:rPr>
          <w:rFonts w:hint="eastAsia" w:hAnsi="宋体"/>
          <w:szCs w:val="21"/>
          <w:vertAlign w:val="subscript"/>
        </w:rPr>
        <w:t xml:space="preserve">begin      </w:t>
      </w:r>
      <w:r>
        <w:rPr>
          <w:rFonts w:hint="eastAsia" w:hAnsi="宋体"/>
        </w:rPr>
        <w:t>期初市值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MV</w:t>
      </w:r>
      <w:r>
        <w:rPr>
          <w:rFonts w:hint="eastAsia" w:hAnsi="宋体"/>
          <w:szCs w:val="21"/>
          <w:vertAlign w:val="subscript"/>
        </w:rPr>
        <w:t xml:space="preserve">end       </w:t>
      </w:r>
      <w:r>
        <w:rPr>
          <w:rFonts w:hint="eastAsia" w:hAnsi="宋体"/>
        </w:rPr>
        <w:t>期末市值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NCF      净现金流</w:t>
      </w:r>
    </w:p>
    <w:p/>
    <w:p>
      <w:pPr>
        <w:pStyle w:val="6"/>
      </w:pPr>
      <w:r>
        <w:rPr>
          <w:rFonts w:hint="eastAsia"/>
        </w:rPr>
        <w:t>价值加权回报率</w:t>
      </w:r>
    </w:p>
    <w:p>
      <w:pPr>
        <w:jc w:val="center"/>
      </w:pPr>
      <w:r>
        <w:rPr>
          <w:position w:val="-98"/>
        </w:rPr>
        <w:object>
          <v:shape id="_x0000_i1425" o:spt="75" type="#_x0000_t75" style="height:102.15pt;width:190.45pt;" o:ole="t" filled="f" o:preferrelative="t" stroked="f" coordsize="21600,21600">
            <v:path/>
            <v:fill on="f" focussize="0,0"/>
            <v:stroke on="f" joinstyle="miter"/>
            <v:imagedata r:id="rId790" o:title=""/>
            <o:lock v:ext="edit" aspectratio="t"/>
            <w10:wrap type="none"/>
            <w10:anchorlock/>
          </v:shape>
          <o:OLEObject Type="Embed" ProgID="Equation.DSMT4" ShapeID="_x0000_i1425" DrawAspect="Content" ObjectID="_1468076125" r:id="rId789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 xml:space="preserve">MWR     </w:t>
      </w:r>
      <w:r>
        <w:rPr>
          <w:rFonts w:hAnsi="宋体"/>
        </w:rPr>
        <w:tab/>
      </w:r>
      <w:r>
        <w:rPr>
          <w:rFonts w:hint="eastAsia" w:hAnsi="宋体"/>
        </w:rPr>
        <w:t>价值加权回报率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MV</w:t>
      </w:r>
      <w:r>
        <w:rPr>
          <w:rFonts w:hint="eastAsia" w:hAnsi="宋体"/>
          <w:szCs w:val="21"/>
          <w:vertAlign w:val="subscript"/>
        </w:rPr>
        <w:t xml:space="preserve">begin </w:t>
      </w:r>
      <w:r>
        <w:rPr>
          <w:rFonts w:hAnsi="宋体"/>
          <w:szCs w:val="21"/>
          <w:vertAlign w:val="subscript"/>
        </w:rPr>
        <w:tab/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期初市值</w:t>
      </w:r>
    </w:p>
    <w:p>
      <w:pPr>
        <w:ind w:firstLine="435"/>
        <w:rPr>
          <w:rFonts w:hAnsi="宋体"/>
        </w:rPr>
      </w:pPr>
      <w:r>
        <w:rPr>
          <w:rFonts w:hint="eastAsia" w:hAnsi="宋体"/>
        </w:rPr>
        <w:t>MV</w:t>
      </w:r>
      <w:r>
        <w:rPr>
          <w:rFonts w:hint="eastAsia" w:hAnsi="宋体"/>
          <w:szCs w:val="21"/>
          <w:vertAlign w:val="subscript"/>
        </w:rPr>
        <w:t xml:space="preserve">end    </w:t>
      </w:r>
      <w:r>
        <w:rPr>
          <w:rFonts w:hAnsi="宋体"/>
          <w:szCs w:val="21"/>
          <w:vertAlign w:val="subscript"/>
        </w:rPr>
        <w:tab/>
      </w:r>
      <w:r>
        <w:rPr>
          <w:rFonts w:hAnsi="宋体"/>
          <w:szCs w:val="21"/>
          <w:vertAlign w:val="subscript"/>
        </w:rPr>
        <w:tab/>
      </w:r>
      <w:r>
        <w:rPr>
          <w:rFonts w:hint="eastAsia" w:hAnsi="宋体"/>
        </w:rPr>
        <w:t>期末市值</w:t>
      </w:r>
    </w:p>
    <w:p>
      <w:pPr>
        <w:ind w:firstLine="435"/>
      </w:pPr>
      <w:r>
        <w:rPr>
          <w:rFonts w:hint="eastAsia"/>
        </w:rPr>
        <w:t>C</w:t>
      </w:r>
      <w:r>
        <w:rPr>
          <w:rFonts w:hint="eastAsia"/>
          <w:szCs w:val="21"/>
          <w:vertAlign w:val="subscript"/>
        </w:rPr>
        <w:t xml:space="preserve">i     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</w:rPr>
        <w:t>有效贡献（投入）</w:t>
      </w:r>
    </w:p>
    <w:p>
      <w:pPr>
        <w:ind w:firstLine="435"/>
      </w:pPr>
      <w:r>
        <w:rPr>
          <w:rFonts w:hint="eastAsia"/>
        </w:rPr>
        <w:t>P</w:t>
      </w:r>
      <w:r>
        <w:rPr>
          <w:rFonts w:hint="eastAsia"/>
          <w:szCs w:val="21"/>
          <w:vertAlign w:val="subscript"/>
        </w:rPr>
        <w:t xml:space="preserve">i      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</w:rPr>
        <w:t>购买</w:t>
      </w:r>
    </w:p>
    <w:p>
      <w:pPr>
        <w:ind w:firstLine="435"/>
      </w:pPr>
      <w:r>
        <w:rPr>
          <w:rFonts w:hint="eastAsia"/>
        </w:rPr>
        <w:t>E</w:t>
      </w:r>
      <w:r>
        <w:rPr>
          <w:rFonts w:hint="eastAsia"/>
          <w:szCs w:val="21"/>
          <w:vertAlign w:val="subscript"/>
        </w:rPr>
        <w:t xml:space="preserve">i     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</w:rPr>
        <w:t>非物质贡献，以其产生的开支来测量</w:t>
      </w:r>
    </w:p>
    <w:p>
      <w:pPr>
        <w:ind w:firstLine="435"/>
      </w:pPr>
      <w:r>
        <w:rPr>
          <w:rFonts w:hint="eastAsia"/>
        </w:rPr>
        <w:t>W</w:t>
      </w:r>
      <w:r>
        <w:rPr>
          <w:rFonts w:hint="eastAsia"/>
          <w:szCs w:val="21"/>
          <w:vertAlign w:val="subscript"/>
        </w:rPr>
        <w:t xml:space="preserve">i     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</w:rPr>
        <w:t>有效赎回</w:t>
      </w:r>
    </w:p>
    <w:p>
      <w:pPr>
        <w:ind w:firstLine="435"/>
      </w:pPr>
      <w:r>
        <w:rPr>
          <w:rFonts w:hint="eastAsia"/>
        </w:rPr>
        <w:t>S</w:t>
      </w:r>
      <w:r>
        <w:rPr>
          <w:rFonts w:hint="eastAsia"/>
          <w:szCs w:val="21"/>
          <w:vertAlign w:val="subscript"/>
        </w:rPr>
        <w:t xml:space="preserve">i      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</w:rPr>
        <w:t>出售</w:t>
      </w:r>
    </w:p>
    <w:p>
      <w:pPr>
        <w:ind w:firstLine="435"/>
      </w:pPr>
      <w:r>
        <w:rPr>
          <w:rFonts w:hint="eastAsia"/>
        </w:rPr>
        <w:t>D</w:t>
      </w:r>
      <w:r>
        <w:rPr>
          <w:rFonts w:hint="eastAsia"/>
          <w:szCs w:val="21"/>
          <w:vertAlign w:val="subscript"/>
        </w:rPr>
        <w:t xml:space="preserve">i     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</w:rPr>
        <w:t>净股利或其他收益</w:t>
      </w:r>
    </w:p>
    <w:p>
      <w:pPr>
        <w:ind w:firstLine="435"/>
      </w:pPr>
      <w:r>
        <w:rPr>
          <w:rFonts w:hint="eastAsia"/>
        </w:rPr>
        <w:t>R</w:t>
      </w:r>
      <w:r>
        <w:rPr>
          <w:rFonts w:hint="eastAsia"/>
          <w:szCs w:val="21"/>
          <w:vertAlign w:val="subscript"/>
        </w:rPr>
        <w:t xml:space="preserve">i        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</w:rPr>
        <w:t>可再退回的税收</w:t>
      </w:r>
    </w:p>
    <w:p>
      <w:pPr>
        <w:ind w:firstLine="435"/>
      </w:pPr>
      <w:r>
        <w:rPr>
          <w:rFonts w:hint="eastAsia"/>
        </w:rPr>
        <w:t>P</w:t>
      </w:r>
      <w:r>
        <w:rPr>
          <w:vertAlign w:val="subscript"/>
        </w:rPr>
        <w:t>j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rFonts w:hint="eastAsia"/>
        </w:rPr>
        <w:t>加权比重（见上）</w:t>
      </w:r>
    </w:p>
    <w:p/>
    <w:p>
      <w:pPr>
        <w:pStyle w:val="6"/>
      </w:pPr>
      <w:r>
        <w:rPr>
          <w:rFonts w:hint="eastAsia"/>
        </w:rPr>
        <w:t>MIRR(修正的内部报酬率)</w:t>
      </w:r>
    </w:p>
    <w:p/>
    <w:p>
      <w:pPr>
        <w:ind w:firstLine="1470" w:firstLineChars="700"/>
      </w:pPr>
      <w:r>
        <w:rPr>
          <w:position w:val="-30"/>
        </w:rPr>
        <w:object>
          <v:shape id="_x0000_i1426" o:spt="75" type="#_x0000_t75" style="height:43.4pt;width:217.55pt;" o:ole="t" filled="f" o:preferrelative="t" stroked="f" coordsize="21600,21600">
            <v:path/>
            <v:fill on="f" focussize="0,0"/>
            <v:stroke on="f" joinstyle="miter"/>
            <v:imagedata r:id="rId792" o:title=""/>
            <o:lock v:ext="edit" aspectratio="t"/>
            <w10:wrap type="none"/>
            <w10:anchorlock/>
          </v:shape>
          <o:OLEObject Type="Embed" ProgID="Equation.3" ShapeID="_x0000_i1426" DrawAspect="Content" ObjectID="_1468076126" r:id="rId791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</w:pPr>
      <w:r>
        <w:rPr>
          <w:rFonts w:hint="eastAsia"/>
        </w:rPr>
        <w:t>Y</w:t>
      </w:r>
      <w:r>
        <w:rPr>
          <w:rFonts w:hint="eastAsia"/>
          <w:szCs w:val="21"/>
          <w:vertAlign w:val="subscript"/>
        </w:rPr>
        <w:t>T</w:t>
      </w:r>
      <w:r>
        <w:rPr>
          <w:szCs w:val="21"/>
          <w:vertAlign w:val="subscript"/>
        </w:rPr>
        <w:tab/>
      </w:r>
      <w:r>
        <w:rPr>
          <w:szCs w:val="21"/>
          <w:vertAlign w:val="subscript"/>
        </w:rPr>
        <w:tab/>
      </w:r>
      <w:r>
        <w:rPr>
          <w:rFonts w:hint="eastAsia"/>
        </w:rPr>
        <w:t>所有年份的投资期</w:t>
      </w:r>
    </w:p>
    <w:p/>
    <w:p>
      <w:pPr>
        <w:pStyle w:val="5"/>
        <w:rPr>
          <w:lang w:eastAsia="zh-CN"/>
        </w:rPr>
      </w:pPr>
      <w:r>
        <w:rPr>
          <w:lang w:eastAsia="zh-CN"/>
        </w:rPr>
        <w:t>6</w:t>
      </w:r>
      <w:r>
        <w:rPr>
          <w:rFonts w:hint="eastAsia"/>
          <w:lang w:eastAsia="zh-CN"/>
        </w:rPr>
        <w:t>.1.2 风险调整后的业绩评估</w:t>
      </w:r>
    </w:p>
    <w:p>
      <w:pPr>
        <w:pStyle w:val="6"/>
      </w:pPr>
      <w:r>
        <w:rPr>
          <w:rFonts w:hint="eastAsia"/>
        </w:rPr>
        <w:t>夏普比率或收益－变动性比率</w:t>
      </w:r>
    </w:p>
    <w:p>
      <w:pPr>
        <w:jc w:val="center"/>
        <w:rPr>
          <w:position w:val="-30"/>
        </w:rPr>
      </w:pPr>
      <w:r>
        <w:rPr>
          <w:position w:val="-30"/>
        </w:rPr>
        <w:object>
          <v:shape id="_x0000_i1427" o:spt="75" type="#_x0000_t75" style="height:36.75pt;width:93.95pt;" o:ole="t" filled="f" o:preferrelative="t" stroked="f" coordsize="21600,21600">
            <v:path/>
            <v:fill on="f" focussize="0,0"/>
            <v:stroke on="f" joinstyle="miter"/>
            <v:imagedata r:id="rId794" o:title=""/>
            <o:lock v:ext="edit" aspectratio="t"/>
            <w10:wrap type="none"/>
            <w10:anchorlock/>
          </v:shape>
          <o:OLEObject Type="Embed" ProgID="Equation.3" ShapeID="_x0000_i1427" DrawAspect="Content" ObjectID="_1468076127" r:id="rId793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left="420"/>
      </w:pPr>
      <w:r>
        <w:rPr>
          <w:position w:val="-10"/>
        </w:rPr>
        <w:object>
          <v:shape id="_x0000_i1428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796" o:title=""/>
            <o:lock v:ext="edit" aspectratio="t"/>
            <w10:wrap type="none"/>
            <w10:anchorlock/>
          </v:shape>
          <o:OLEObject Type="Embed" ProgID="Equation.3" ShapeID="_x0000_i1428" DrawAspect="Content" ObjectID="_1468076128" r:id="rId795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平均投资组合回报率</w:t>
      </w:r>
    </w:p>
    <w:p>
      <w:pPr>
        <w:ind w:firstLine="435"/>
      </w:pPr>
      <w:r>
        <w:rPr>
          <w:position w:val="-16"/>
        </w:rPr>
        <w:object>
          <v:shape id="_x0000_i1429" o:spt="75" type="#_x0000_t75" style="height:20.45pt;width:14.8pt;" o:ole="t" filled="f" o:preferrelative="t" stroked="f" coordsize="21600,21600">
            <v:path/>
            <v:fill on="f" focussize="0,0"/>
            <v:stroke on="f" joinstyle="miter"/>
            <v:imagedata r:id="rId798" o:title=""/>
            <o:lock v:ext="edit" aspectratio="t"/>
            <w10:wrap type="none"/>
            <w10:anchorlock/>
          </v:shape>
          <o:OLEObject Type="Embed" ProgID="Equation.3" ShapeID="_x0000_i1429" DrawAspect="Content" ObjectID="_1468076129" r:id="rId797">
            <o:LockedField>false</o:LockedField>
          </o:OLEObject>
        </w:object>
      </w:r>
      <w:r>
        <w:rPr>
          <w:position w:val="-16"/>
        </w:rPr>
        <w:tab/>
      </w:r>
      <w:r>
        <w:rPr>
          <w:position w:val="-16"/>
        </w:rPr>
        <w:tab/>
      </w:r>
      <w:r>
        <w:rPr>
          <w:rFonts w:hint="eastAsia"/>
        </w:rPr>
        <w:t>平均无风险回报率</w:t>
      </w:r>
    </w:p>
    <w:p>
      <w:pPr>
        <w:ind w:firstLine="435"/>
      </w:pPr>
      <w:r>
        <w:rPr>
          <w:position w:val="-10"/>
        </w:rPr>
        <w:object>
          <v:shape id="_x0000_i1430" o:spt="75" type="#_x0000_t75" style="height:16.35pt;width:16.35pt;" o:ole="t" filled="f" o:preferrelative="t" stroked="f" coordsize="21600,21600">
            <v:path/>
            <v:fill on="f" focussize="0,0"/>
            <v:stroke on="f" joinstyle="miter"/>
            <v:imagedata r:id="rId800" o:title=""/>
            <o:lock v:ext="edit" aspectratio="t"/>
            <w10:wrap type="none"/>
            <w10:anchorlock/>
          </v:shape>
          <o:OLEObject Type="Embed" ProgID="Equation.3" ShapeID="_x0000_i1430" DrawAspect="Content" ObjectID="_1468076130" r:id="rId799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投资组合波动率</w:t>
      </w:r>
    </w:p>
    <w:p>
      <w:pPr>
        <w:ind w:firstLine="435"/>
      </w:pPr>
    </w:p>
    <w:p>
      <w:pPr>
        <w:pStyle w:val="6"/>
      </w:pPr>
      <w:r>
        <w:rPr>
          <w:rFonts w:hint="eastAsia"/>
        </w:rPr>
        <w:t>特雷纳比率或波动获益率</w:t>
      </w:r>
    </w:p>
    <w:p>
      <w:pPr>
        <w:jc w:val="center"/>
        <w:rPr>
          <w:position w:val="-30"/>
        </w:rPr>
      </w:pPr>
      <w:r>
        <w:rPr>
          <w:position w:val="-30"/>
        </w:rPr>
        <w:object>
          <v:shape id="_x0000_i1431" o:spt="75" type="#_x0000_t75" style="height:36.75pt;width:93.95pt;" o:ole="t" filled="f" o:preferrelative="t" stroked="f" coordsize="21600,21600">
            <v:path/>
            <v:fill on="f" focussize="0,0"/>
            <v:stroke on="f" joinstyle="miter"/>
            <v:imagedata r:id="rId802" o:title=""/>
            <o:lock v:ext="edit" aspectratio="t"/>
            <w10:wrap type="none"/>
            <w10:anchorlock/>
          </v:shape>
          <o:OLEObject Type="Embed" ProgID="Equation.3" ShapeID="_x0000_i1431" DrawAspect="Content" ObjectID="_1468076131" r:id="rId801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left="420"/>
      </w:pPr>
      <w:r>
        <w:rPr>
          <w:position w:val="-10"/>
        </w:rPr>
        <w:object>
          <v:shape id="_x0000_i1432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796" o:title=""/>
            <o:lock v:ext="edit" aspectratio="t"/>
            <w10:wrap type="none"/>
            <w10:anchorlock/>
          </v:shape>
          <o:OLEObject Type="Embed" ProgID="Equation.3" ShapeID="_x0000_i1432" DrawAspect="Content" ObjectID="_1468076132" r:id="rId803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平均投资组合回报率</w:t>
      </w:r>
    </w:p>
    <w:p>
      <w:pPr>
        <w:ind w:firstLine="435"/>
      </w:pPr>
      <w:r>
        <w:rPr>
          <w:position w:val="-16"/>
        </w:rPr>
        <w:object>
          <v:shape id="_x0000_i1433" o:spt="75" type="#_x0000_t75" style="height:20.45pt;width:14.8pt;" o:ole="t" filled="f" o:preferrelative="t" stroked="f" coordsize="21600,21600">
            <v:path/>
            <v:fill on="f" focussize="0,0"/>
            <v:stroke on="f" joinstyle="miter"/>
            <v:imagedata r:id="rId798" o:title=""/>
            <o:lock v:ext="edit" aspectratio="t"/>
            <w10:wrap type="none"/>
            <w10:anchorlock/>
          </v:shape>
          <o:OLEObject Type="Embed" ProgID="Equation.3" ShapeID="_x0000_i1433" DrawAspect="Content" ObjectID="_1468076133" r:id="rId804">
            <o:LockedField>false</o:LockedField>
          </o:OLEObject>
        </w:object>
      </w:r>
      <w:r>
        <w:rPr>
          <w:position w:val="-16"/>
        </w:rPr>
        <w:tab/>
      </w:r>
      <w:r>
        <w:rPr>
          <w:position w:val="-16"/>
        </w:rPr>
        <w:tab/>
      </w:r>
      <w:r>
        <w:rPr>
          <w:rFonts w:hint="eastAsia"/>
        </w:rPr>
        <w:t>平均无风险回报率</w:t>
      </w:r>
    </w:p>
    <w:p>
      <w:pPr>
        <w:ind w:firstLine="435"/>
      </w:pPr>
      <w:r>
        <w:rPr>
          <w:position w:val="-10"/>
        </w:rPr>
        <w:object>
          <v:shape id="_x0000_i1434" o:spt="75" type="#_x0000_t75" style="height:16.35pt;width:16.35pt;" o:ole="t" filled="f" o:preferrelative="t" stroked="f" coordsize="21600,21600">
            <v:path/>
            <v:fill on="f" focussize="0,0"/>
            <v:stroke on="f" joinstyle="miter"/>
            <v:imagedata r:id="rId806" o:title=""/>
            <o:lock v:ext="edit" aspectratio="t"/>
            <w10:wrap type="none"/>
            <w10:anchorlock/>
          </v:shape>
          <o:OLEObject Type="Embed" ProgID="Equation.3" ShapeID="_x0000_i1434" DrawAspect="Content" ObjectID="_1468076134" r:id="rId805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投资组合贝塔值</w:t>
      </w:r>
    </w:p>
    <w:p>
      <w:pPr>
        <w:ind w:firstLine="435"/>
      </w:pPr>
    </w:p>
    <w:p>
      <w:pPr>
        <w:pStyle w:val="6"/>
      </w:pPr>
      <w:r>
        <w:rPr>
          <w:rFonts w:hint="eastAsia"/>
        </w:rPr>
        <w:t>詹森阿尔法系数</w:t>
      </w:r>
    </w:p>
    <w:p>
      <w:pPr>
        <w:jc w:val="center"/>
        <w:rPr>
          <w:position w:val="-16"/>
        </w:rPr>
      </w:pPr>
      <w:r>
        <w:rPr>
          <w:position w:val="-16"/>
        </w:rPr>
        <w:object>
          <v:shape id="_x0000_i1435" o:spt="75" type="#_x0000_t75" style="height:20.45pt;width:162.9pt;" o:ole="t" filled="f" o:preferrelative="t" stroked="f" coordsize="21600,21600">
            <v:path/>
            <v:fill on="f" focussize="0,0"/>
            <v:stroke on="f" joinstyle="miter"/>
            <v:imagedata r:id="rId808" o:title=""/>
            <o:lock v:ext="edit" aspectratio="t"/>
            <w10:wrap type="none"/>
            <w10:anchorlock/>
          </v:shape>
          <o:OLEObject Type="Embed" ProgID="Equation.3" ShapeID="_x0000_i1435" DrawAspect="Content" ObjectID="_1468076135" r:id="rId807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left="420"/>
      </w:pPr>
      <w:r>
        <w:rPr>
          <w:position w:val="-10"/>
        </w:rPr>
        <w:object>
          <v:shape id="_x0000_i1436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796" o:title=""/>
            <o:lock v:ext="edit" aspectratio="t"/>
            <w10:wrap type="none"/>
            <w10:anchorlock/>
          </v:shape>
          <o:OLEObject Type="Embed" ProgID="Equation.3" ShapeID="_x0000_i1436" DrawAspect="Content" ObjectID="_1468076136" r:id="rId809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平均投资组合回报率</w:t>
      </w:r>
    </w:p>
    <w:p>
      <w:pPr>
        <w:ind w:firstLine="435"/>
      </w:pPr>
      <w:r>
        <w:rPr>
          <w:position w:val="-16"/>
        </w:rPr>
        <w:object>
          <v:shape id="_x0000_i1437" o:spt="75" type="#_x0000_t75" style="height:20.45pt;width:14.8pt;" o:ole="t" filled="f" o:preferrelative="t" stroked="f" coordsize="21600,21600">
            <v:path/>
            <v:fill on="f" focussize="0,0"/>
            <v:stroke on="f" joinstyle="miter"/>
            <v:imagedata r:id="rId798" o:title=""/>
            <o:lock v:ext="edit" aspectratio="t"/>
            <w10:wrap type="none"/>
            <w10:anchorlock/>
          </v:shape>
          <o:OLEObject Type="Embed" ProgID="Equation.3" ShapeID="_x0000_i1437" DrawAspect="Content" ObjectID="_1468076137" r:id="rId810">
            <o:LockedField>false</o:LockedField>
          </o:OLEObject>
        </w:object>
      </w:r>
      <w:r>
        <w:rPr>
          <w:position w:val="-16"/>
        </w:rPr>
        <w:tab/>
      </w:r>
      <w:r>
        <w:rPr>
          <w:position w:val="-16"/>
        </w:rPr>
        <w:tab/>
      </w:r>
      <w:r>
        <w:rPr>
          <w:rFonts w:hint="eastAsia"/>
        </w:rPr>
        <w:t>平均无风险回报率</w:t>
      </w:r>
    </w:p>
    <w:p>
      <w:pPr>
        <w:ind w:firstLine="435"/>
      </w:pPr>
      <w:r>
        <w:rPr>
          <w:position w:val="-10"/>
        </w:rPr>
        <w:object>
          <v:shape id="_x0000_i1438" o:spt="75" type="#_x0000_t75" style="height:16.35pt;width:16.35pt;" o:ole="t" filled="f" o:preferrelative="t" stroked="f" coordsize="21600,21600">
            <v:path/>
            <v:fill on="f" focussize="0,0"/>
            <v:stroke on="f" joinstyle="miter"/>
            <v:imagedata r:id="rId806" o:title=""/>
            <o:lock v:ext="edit" aspectratio="t"/>
            <w10:wrap type="none"/>
            <w10:anchorlock/>
          </v:shape>
          <o:OLEObject Type="Embed" ProgID="Equation.3" ShapeID="_x0000_i1438" DrawAspect="Content" ObjectID="_1468076138" r:id="rId811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投资组合贝塔值</w:t>
      </w:r>
    </w:p>
    <w:p>
      <w:pPr>
        <w:ind w:left="420"/>
      </w:pPr>
      <w:r>
        <w:rPr>
          <w:position w:val="-10"/>
        </w:rPr>
        <w:object>
          <v:shape id="_x0000_i1439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813" o:title=""/>
            <o:lock v:ext="edit" aspectratio="t"/>
            <w10:wrap type="none"/>
            <w10:anchorlock/>
          </v:shape>
          <o:OLEObject Type="Embed" ProgID="Equation.3" ShapeID="_x0000_i1439" DrawAspect="Content" ObjectID="_1468076139" r:id="rId812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平均市场回报率</w:t>
      </w:r>
    </w:p>
    <w:p>
      <w:pPr>
        <w:ind w:firstLine="435"/>
      </w:pPr>
    </w:p>
    <w:p>
      <w:pPr>
        <w:pStyle w:val="6"/>
      </w:pPr>
      <w:r>
        <w:rPr>
          <w:rFonts w:hint="eastAsia"/>
        </w:rPr>
        <w:t>绩效评估比率</w:t>
      </w:r>
    </w:p>
    <w:p>
      <w:pPr>
        <w:jc w:val="center"/>
        <w:rPr>
          <w:position w:val="-30"/>
        </w:rPr>
      </w:pPr>
      <w:r>
        <w:rPr>
          <w:position w:val="-30"/>
        </w:rPr>
        <w:object>
          <v:shape id="_x0000_i1440" o:spt="75" type="#_x0000_t75" style="height:33.7pt;width:54.65pt;" o:ole="t" filled="f" o:preferrelative="t" stroked="f" coordsize="21600,21600">
            <v:path/>
            <v:fill on="f" focussize="0,0"/>
            <v:stroke on="f" joinstyle="miter"/>
            <v:imagedata r:id="rId815" o:title=""/>
            <o:lock v:ext="edit" aspectratio="t"/>
            <w10:wrap type="none"/>
            <w10:anchorlock/>
          </v:shape>
          <o:OLEObject Type="Embed" ProgID="Equation.3" ShapeID="_x0000_i1440" DrawAspect="Content" ObjectID="_1468076140" r:id="rId814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35"/>
      </w:pPr>
      <w:r>
        <w:rPr>
          <w:position w:val="-10"/>
        </w:rPr>
        <w:object>
          <v:shape id="_x0000_i1441" o:spt="75" type="#_x0000_t75" style="height:16.35pt;width:16.35pt;" o:ole="t" filled="f" o:preferrelative="t" stroked="f" coordsize="21600,21600">
            <v:path/>
            <v:fill on="f" focussize="0,0"/>
            <v:stroke on="f" joinstyle="miter"/>
            <v:imagedata r:id="rId817" o:title=""/>
            <o:lock v:ext="edit" aspectratio="t"/>
            <w10:wrap type="none"/>
            <w10:anchorlock/>
          </v:shape>
          <o:OLEObject Type="Embed" ProgID="Equation.3" ShapeID="_x0000_i1441" DrawAspect="Content" ObjectID="_1468076141" r:id="rId816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詹森阿尔法系数</w:t>
      </w:r>
    </w:p>
    <w:p>
      <w:pPr>
        <w:ind w:firstLine="435"/>
      </w:pPr>
      <w:r>
        <w:rPr>
          <w:position w:val="-12"/>
        </w:rPr>
        <w:object>
          <v:shape id="_x0000_i1442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819" o:title=""/>
            <o:lock v:ext="edit" aspectratio="t"/>
            <w10:wrap type="none"/>
            <w10:anchorlock/>
          </v:shape>
          <o:OLEObject Type="Embed" ProgID="Equation.3" ShapeID="_x0000_i1442" DrawAspect="Content" ObjectID="_1468076142" r:id="rId818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与基准相比较，某个投资组合的年化特定风险</w:t>
      </w:r>
    </w:p>
    <w:p>
      <w:pPr>
        <w:jc w:val="center"/>
      </w:pPr>
    </w:p>
    <w:p>
      <w:pPr>
        <w:pStyle w:val="6"/>
      </w:pPr>
      <w:r>
        <w:rPr>
          <w:rFonts w:hint="eastAsia"/>
        </w:rPr>
        <w:t>Graham 和Harvey 1 和2</w:t>
      </w:r>
    </w:p>
    <w:p>
      <w:pPr>
        <w:jc w:val="center"/>
        <w:rPr>
          <w:position w:val="-10"/>
        </w:rPr>
      </w:pPr>
      <w:r>
        <w:rPr>
          <w:position w:val="-10"/>
        </w:rPr>
        <w:object>
          <v:shape id="_x0000_i1443" o:spt="75" type="#_x0000_t75" style="height:18.9pt;width:132.75pt;" o:ole="t" filled="f" o:preferrelative="t" stroked="f" coordsize="21600,21600">
            <v:path/>
            <v:fill on="f" focussize="0,0"/>
            <v:stroke on="f" joinstyle="miter"/>
            <v:imagedata r:id="rId821" o:title=""/>
            <o:lock v:ext="edit" aspectratio="t"/>
            <w10:wrap type="none"/>
            <w10:anchorlock/>
          </v:shape>
          <o:OLEObject Type="Embed" ProgID="Equation.3" ShapeID="_x0000_i1443" DrawAspect="Content" ObjectID="_1468076143" r:id="rId820">
            <o:LockedField>false</o:LockedField>
          </o:OLEObject>
        </w:object>
      </w:r>
    </w:p>
    <w:p>
      <w:pPr>
        <w:jc w:val="center"/>
        <w:rPr>
          <w:position w:val="-10"/>
        </w:rPr>
      </w:pPr>
      <w:r>
        <w:rPr>
          <w:position w:val="-10"/>
        </w:rPr>
        <w:object>
          <v:shape id="_x0000_i1444" o:spt="75" type="#_x0000_t75" style="height:18.9pt;width:127.65pt;" o:ole="t" filled="f" o:preferrelative="t" stroked="f" coordsize="21600,21600">
            <v:path/>
            <v:fill on="f" focussize="0,0"/>
            <v:stroke on="f" joinstyle="miter"/>
            <v:imagedata r:id="rId823" o:title=""/>
            <o:lock v:ext="edit" aspectratio="t"/>
            <w10:wrap type="none"/>
            <w10:anchorlock/>
          </v:shape>
          <o:OLEObject Type="Embed" ProgID="Equation.3" ShapeID="_x0000_i1444" DrawAspect="Content" ObjectID="_1468076144" r:id="rId822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left="420"/>
      </w:pPr>
      <w:r>
        <w:rPr>
          <w:position w:val="-10"/>
        </w:rPr>
        <w:object>
          <v:shape id="_x0000_i1445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796" o:title=""/>
            <o:lock v:ext="edit" aspectratio="t"/>
            <w10:wrap type="none"/>
            <w10:anchorlock/>
          </v:shape>
          <o:OLEObject Type="Embed" ProgID="Equation.3" ShapeID="_x0000_i1445" DrawAspect="Content" ObjectID="_1468076145" r:id="rId824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平均投资组合回报率</w:t>
      </w:r>
    </w:p>
    <w:p>
      <w:pPr>
        <w:ind w:left="420"/>
      </w:pPr>
      <w:r>
        <w:rPr>
          <w:position w:val="-10"/>
        </w:rPr>
        <w:object>
          <v:shape id="_x0000_i1446" o:spt="75" type="#_x0000_t75" style="height:18.9pt;width:12.25pt;" o:ole="t" filled="f" o:preferrelative="t" stroked="f" coordsize="21600,21600">
            <v:path/>
            <v:fill on="f" focussize="0,0"/>
            <v:stroke on="f" joinstyle="miter"/>
            <v:imagedata r:id="rId826" o:title=""/>
            <o:lock v:ext="edit" aspectratio="t"/>
            <w10:wrap type="none"/>
            <w10:anchorlock/>
          </v:shape>
          <o:OLEObject Type="Embed" ProgID="Equation.3" ShapeID="_x0000_i1446" DrawAspect="Content" ObjectID="_1468076146" r:id="rId825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平均基准回报率</w:t>
      </w:r>
    </w:p>
    <w:p>
      <w:pPr>
        <w:ind w:firstLine="435"/>
      </w:pPr>
      <w:r>
        <w:rPr>
          <w:position w:val="-10"/>
        </w:rPr>
        <w:object>
          <v:shape id="_x0000_i1447" o:spt="75" type="#_x0000_t75" style="height:16.35pt;width:16.35pt;" o:ole="t" filled="f" o:preferrelative="t" stroked="f" coordsize="21600,21600">
            <v:path/>
            <v:fill on="f" focussize="0,0"/>
            <v:stroke on="f" joinstyle="miter"/>
            <v:imagedata r:id="rId800" o:title=""/>
            <o:lock v:ext="edit" aspectratio="t"/>
            <w10:wrap type="none"/>
            <w10:anchorlock/>
          </v:shape>
          <o:OLEObject Type="Embed" ProgID="Equation.3" ShapeID="_x0000_i1447" DrawAspect="Content" ObjectID="_1468076147" r:id="rId827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投资组合波动率</w:t>
      </w:r>
    </w:p>
    <w:p>
      <w:pPr>
        <w:ind w:firstLine="435"/>
      </w:pPr>
      <w:r>
        <w:rPr>
          <w:position w:val="-10"/>
        </w:rPr>
        <w:object>
          <v:shape id="_x0000_i1448" o:spt="75" type="#_x0000_t75" style="height:16.35pt;width:16.35pt;" o:ole="t" filled="f" o:preferrelative="t" stroked="f" coordsize="21600,21600">
            <v:path/>
            <v:fill on="f" focussize="0,0"/>
            <v:stroke on="f" joinstyle="miter"/>
            <v:imagedata r:id="rId829" o:title=""/>
            <o:lock v:ext="edit" aspectratio="t"/>
            <w10:wrap type="none"/>
            <w10:anchorlock/>
          </v:shape>
          <o:OLEObject Type="Embed" ProgID="Equation.3" ShapeID="_x0000_i1448" DrawAspect="Content" ObjectID="_1468076148" r:id="rId828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基准波动率</w:t>
      </w:r>
    </w:p>
    <w:p>
      <w:pPr>
        <w:ind w:firstLine="435"/>
      </w:pPr>
    </w:p>
    <w:p>
      <w:pPr>
        <w:pStyle w:val="6"/>
      </w:pPr>
      <w:r>
        <w:rPr>
          <w:rFonts w:hint="eastAsia"/>
        </w:rPr>
        <w:t>索提诺比率</w:t>
      </w:r>
    </w:p>
    <w:p>
      <w:pPr>
        <w:jc w:val="center"/>
        <w:rPr>
          <w:position w:val="-10"/>
        </w:rPr>
      </w:pPr>
      <w:r>
        <w:rPr>
          <w:position w:val="-32"/>
        </w:rPr>
        <w:object>
          <v:shape id="_x0000_i1449" o:spt="75" type="#_x0000_t75" style="height:41.85pt;width:81.7pt;" o:ole="t" filled="f" o:preferrelative="t" stroked="f" coordsize="21600,21600">
            <v:path/>
            <v:fill on="f" focussize="0,0"/>
            <v:stroke on="f" joinstyle="miter"/>
            <v:imagedata r:id="rId831" o:title=""/>
            <o:lock v:ext="edit" aspectratio="t"/>
            <w10:wrap type="none"/>
            <w10:anchorlock/>
          </v:shape>
          <o:OLEObject Type="Embed" ProgID="Equation.DSMT4" ShapeID="_x0000_i1449" DrawAspect="Content" ObjectID="_1468076149" r:id="rId830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left="420"/>
      </w:pPr>
      <w:r>
        <w:rPr>
          <w:position w:val="-10"/>
        </w:rPr>
        <w:object>
          <v:shape id="_x0000_i1450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796" o:title=""/>
            <o:lock v:ext="edit" aspectratio="t"/>
            <w10:wrap type="none"/>
            <w10:anchorlock/>
          </v:shape>
          <o:OLEObject Type="Embed" ProgID="Equation.3" ShapeID="_x0000_i1450" DrawAspect="Content" ObjectID="_1468076150" r:id="rId832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平均投资组合回报率</w:t>
      </w:r>
    </w:p>
    <w:p>
      <w:pPr>
        <w:ind w:firstLine="435"/>
      </w:pPr>
      <w:r>
        <w:rPr>
          <w:position w:val="-14"/>
        </w:rPr>
        <w:object>
          <v:shape id="_x0000_i1451" o:spt="75" type="#_x0000_t75" style="height:18.9pt;width:41.85pt;" o:ole="t" filled="f" o:preferrelative="t" stroked="f" coordsize="21600,21600">
            <v:path/>
            <v:fill on="f" focussize="0,0"/>
            <v:stroke on="f" joinstyle="miter"/>
            <v:imagedata r:id="rId834" o:title=""/>
            <o:lock v:ext="edit" aspectratio="t"/>
            <w10:wrap type="none"/>
            <w10:anchorlock/>
          </v:shape>
          <o:OLEObject Type="Embed" ProgID="Equation.3" ShapeID="_x0000_i1451" DrawAspect="Content" ObjectID="_1468076151" r:id="rId833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回报率的年化下方标准差</w:t>
      </w:r>
    </w:p>
    <w:p>
      <w:pPr>
        <w:jc w:val="center"/>
      </w:pPr>
    </w:p>
    <w:p>
      <w:pPr>
        <w:pStyle w:val="6"/>
      </w:pPr>
      <w:r>
        <w:rPr>
          <w:rFonts w:hint="eastAsia"/>
        </w:rPr>
        <w:t>信息比率</w:t>
      </w:r>
    </w:p>
    <w:p>
      <w:pPr>
        <w:jc w:val="center"/>
      </w:pPr>
      <w:r>
        <w:rPr>
          <w:position w:val="-32"/>
        </w:rPr>
        <w:object>
          <v:shape id="_x0000_i1452" o:spt="75" type="#_x0000_t75" style="height:34.7pt;width:106.7pt;" o:ole="t" filled="f" o:preferrelative="t" stroked="f" coordsize="21600,21600">
            <v:path/>
            <v:fill on="f" focussize="0,0"/>
            <v:stroke on="f" joinstyle="miter"/>
            <v:imagedata r:id="rId836" o:title=""/>
            <o:lock v:ext="edit" aspectratio="t"/>
            <w10:wrap type="none"/>
            <w10:anchorlock/>
          </v:shape>
          <o:OLEObject Type="Embed" ProgID="Equation.3" ShapeID="_x0000_i1452" DrawAspect="Content" ObjectID="_1468076152" r:id="rId835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left="420"/>
      </w:pPr>
      <w:bookmarkStart w:id="112" w:name="OLE_LINK35"/>
      <w:r>
        <w:rPr>
          <w:position w:val="-10"/>
        </w:rPr>
        <w:object>
          <v:shape id="_x0000_i1453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796" o:title=""/>
            <o:lock v:ext="edit" aspectratio="t"/>
            <w10:wrap type="none"/>
            <w10:anchorlock/>
          </v:shape>
          <o:OLEObject Type="Embed" ProgID="Equation.3" ShapeID="_x0000_i1453" DrawAspect="Content" ObjectID="_1468076153" r:id="rId837">
            <o:LockedField>false</o:LockedField>
          </o:OLEObject>
        </w:object>
      </w:r>
      <w:bookmarkEnd w:id="112"/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平均投资组合回报率</w:t>
      </w:r>
    </w:p>
    <w:p>
      <w:pPr>
        <w:ind w:left="420"/>
      </w:pPr>
      <w:r>
        <w:rPr>
          <w:position w:val="-10"/>
        </w:rPr>
        <w:object>
          <v:shape id="_x0000_i1454" o:spt="75" type="#_x0000_t75" style="height:18.9pt;width:12.25pt;" o:ole="t" filled="f" o:preferrelative="t" stroked="f" coordsize="21600,21600">
            <v:path/>
            <v:fill on="f" focussize="0,0"/>
            <v:stroke on="f" joinstyle="miter"/>
            <v:imagedata r:id="rId826" o:title=""/>
            <o:lock v:ext="edit" aspectratio="t"/>
            <w10:wrap type="none"/>
            <w10:anchorlock/>
          </v:shape>
          <o:OLEObject Type="Embed" ProgID="Equation.3" ShapeID="_x0000_i1454" DrawAspect="Content" ObjectID="_1468076154" r:id="rId838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平均基准回报率</w:t>
      </w:r>
    </w:p>
    <w:p>
      <w:pPr>
        <w:ind w:firstLine="435"/>
      </w:pPr>
      <w:r>
        <w:rPr>
          <w:position w:val="-6"/>
        </w:rPr>
        <w:object>
          <v:shape id="_x0000_i1455" o:spt="75" type="#_x0000_t75" style="height:14.3pt;width:31.65pt;" o:ole="t" filled="f" o:preferrelative="t" stroked="f" coordsize="21600,21600">
            <v:path/>
            <v:fill on="f" focussize="0,0"/>
            <v:stroke on="f" joinstyle="miter"/>
            <v:imagedata r:id="rId840" o:title=""/>
            <o:lock v:ext="edit" aspectratio="t"/>
            <w10:wrap type="none"/>
            <w10:anchorlock/>
          </v:shape>
          <o:OLEObject Type="Embed" ProgID="Equation.3" ShapeID="_x0000_i1455" DrawAspect="Content" ObjectID="_1468076155" r:id="rId839">
            <o:LockedField>false</o:LockedField>
          </o:OLEObject>
        </w:object>
      </w:r>
      <w:r>
        <w:rPr>
          <w:position w:val="-6"/>
        </w:rPr>
        <w:tab/>
      </w:r>
      <w:r>
        <w:rPr>
          <w:rFonts w:hint="eastAsia"/>
        </w:rPr>
        <w:t>跟踪误差标准差</w:t>
      </w:r>
    </w:p>
    <w:p>
      <w:pPr>
        <w:jc w:val="left"/>
        <w:rPr>
          <w:strike/>
        </w:rPr>
      </w:pPr>
    </w:p>
    <w:p>
      <w:pPr>
        <w:pStyle w:val="5"/>
        <w:rPr>
          <w:lang w:eastAsia="zh-CN"/>
        </w:rPr>
      </w:pPr>
      <w:r>
        <w:rPr>
          <w:lang w:eastAsia="zh-CN"/>
        </w:rPr>
        <w:t>6.1.3</w:t>
      </w:r>
      <w:r>
        <w:rPr>
          <w:rFonts w:hint="eastAsia"/>
          <w:lang w:eastAsia="zh-CN"/>
        </w:rPr>
        <w:t xml:space="preserve">多货币投资和利率差异 </w:t>
      </w:r>
    </w:p>
    <w:p>
      <w:pPr>
        <w:pStyle w:val="6"/>
      </w:pPr>
      <w:r>
        <w:rPr>
          <w:rFonts w:hint="eastAsia"/>
        </w:rPr>
        <w:t>单一货币收益率</w:t>
      </w:r>
    </w:p>
    <w:p>
      <w:pPr>
        <w:jc w:val="center"/>
      </w:pPr>
      <w:r>
        <w:rPr>
          <w:position w:val="-30"/>
        </w:rPr>
        <w:object>
          <v:shape id="_x0000_i1456" o:spt="75" type="#_x0000_t75" style="height:33.7pt;width:113.85pt;" o:ole="t" filled="t" o:preferrelative="t" stroked="f" coordsize="21600,21600">
            <v:path/>
            <v:fill on="t" focussize="0,0"/>
            <v:stroke on="f" joinstyle="miter"/>
            <v:imagedata r:id="rId842" o:title=""/>
            <o:lock v:ext="edit" aspectratio="t"/>
            <w10:wrap type="none"/>
            <w10:anchorlock/>
          </v:shape>
          <o:OLEObject Type="Embed" ProgID="Equation.3" ShapeID="_x0000_i1456" DrawAspect="Content" ObjectID="_1468076156" r:id="rId841">
            <o:LockedField>false</o:LockedField>
          </o:OLEObject>
        </w:object>
      </w:r>
    </w:p>
    <w:p>
      <w:pPr>
        <w:jc w:val="left"/>
      </w:pPr>
      <w:r>
        <w:rPr>
          <w:rFonts w:hint="eastAsia"/>
        </w:rPr>
        <w:t>此处</w:t>
      </w:r>
    </w:p>
    <w:p>
      <w:pPr>
        <w:ind w:firstLine="420" w:firstLineChars="200"/>
        <w:jc w:val="left"/>
      </w:pPr>
      <w:r>
        <w:rPr>
          <w:position w:val="-12"/>
        </w:rPr>
        <w:object>
          <v:shape id="_x0000_i1457" o:spt="75" type="#_x0000_t75" style="height:18.9pt;width:33.7pt;" o:ole="t" filled="f" o:preferrelative="t" stroked="f" coordsize="21600,21600">
            <v:path/>
            <v:fill on="f" focussize="0,0"/>
            <v:stroke on="f" joinstyle="miter"/>
            <v:imagedata r:id="rId844" o:title=""/>
            <o:lock v:ext="edit" aspectratio="t"/>
            <w10:wrap type="none"/>
            <w10:anchorlock/>
          </v:shape>
          <o:OLEObject Type="Embed" ProgID="Equation.DSMT4" ShapeID="_x0000_i1457" DrawAspect="Content" ObjectID="_1468076157" r:id="rId843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单一货币收益率</w:t>
      </w:r>
    </w:p>
    <w:p>
      <w:pPr>
        <w:ind w:firstLine="420" w:firstLineChars="200"/>
        <w:jc w:val="left"/>
      </w:pPr>
      <w:r>
        <w:rPr>
          <w:position w:val="-14"/>
        </w:rPr>
        <w:object>
          <v:shape id="_x0000_i1458" o:spt="75" type="#_x0000_t75" style="height:18.9pt;width:36.75pt;" o:ole="t" filled="f" o:preferrelative="t" stroked="f" coordsize="21600,21600">
            <v:path/>
            <v:fill on="f" focussize="0,0"/>
            <v:stroke on="f" joinstyle="miter"/>
            <v:imagedata r:id="rId846" o:title=""/>
            <o:lock v:ext="edit" aspectratio="t"/>
            <w10:wrap type="none"/>
            <w10:anchorlock/>
          </v:shape>
          <o:OLEObject Type="Embed" ProgID="Equation.DSMT4" ShapeID="_x0000_i1458" DrawAspect="Content" ObjectID="_1468076158" r:id="rId845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期末即期汇率</w:t>
      </w:r>
    </w:p>
    <w:p>
      <w:pPr>
        <w:ind w:firstLine="420" w:firstLineChars="200"/>
        <w:jc w:val="left"/>
      </w:pPr>
      <w:r>
        <w:rPr>
          <w:position w:val="-14"/>
        </w:rPr>
        <w:object>
          <v:shape id="_x0000_i1459" o:spt="75" type="#_x0000_t75" style="height:18.9pt;width:44.95pt;" o:ole="t" filled="f" o:preferrelative="t" stroked="f" coordsize="21600,21600">
            <v:path/>
            <v:fill on="f" focussize="0,0"/>
            <v:stroke on="f" joinstyle="miter"/>
            <v:imagedata r:id="rId848" o:title=""/>
            <o:lock v:ext="edit" aspectratio="t"/>
            <w10:wrap type="none"/>
            <w10:anchorlock/>
          </v:shape>
          <o:OLEObject Type="Embed" ProgID="Equation.DSMT4" ShapeID="_x0000_i1459" DrawAspect="Content" ObjectID="_1468076159" r:id="rId847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期初即期汇率</w:t>
      </w:r>
    </w:p>
    <w:p>
      <w:pPr>
        <w:jc w:val="left"/>
      </w:pPr>
    </w:p>
    <w:p>
      <w:pPr>
        <w:pStyle w:val="6"/>
      </w:pPr>
      <w:r>
        <w:rPr>
          <w:rFonts w:hint="eastAsia"/>
        </w:rPr>
        <w:t>远期汇率收益率</w:t>
      </w:r>
    </w:p>
    <w:p>
      <w:pPr>
        <w:jc w:val="center"/>
      </w:pPr>
      <w:r>
        <w:rPr>
          <w:b/>
          <w:position w:val="-32"/>
        </w:rPr>
        <w:object>
          <v:shape id="_x0000_i1460" o:spt="75" type="#_x0000_t75" style="height:36.75pt;width:209.35pt;" o:ole="t" filled="t" o:preferrelative="t" stroked="f" coordsize="21600,21600">
            <v:path/>
            <v:fill on="t" focussize="0,0"/>
            <v:stroke on="f" joinstyle="miter"/>
            <v:imagedata r:id="rId850" o:title=""/>
            <o:lock v:ext="edit" aspectratio="t"/>
            <w10:wrap type="none"/>
            <w10:anchorlock/>
          </v:shape>
          <o:OLEObject Type="Embed" ProgID="Equation.3" ShapeID="_x0000_i1460" DrawAspect="Content" ObjectID="_1468076160" r:id="rId849">
            <o:LockedField>false</o:LockedField>
          </o:OLEObject>
        </w:object>
      </w:r>
    </w:p>
    <w:p>
      <w:pPr>
        <w:jc w:val="left"/>
      </w:pPr>
      <w:r>
        <w:rPr>
          <w:rFonts w:hint="eastAsia"/>
        </w:rPr>
        <w:t>此处</w:t>
      </w:r>
    </w:p>
    <w:p>
      <w:pPr>
        <w:ind w:firstLine="420" w:firstLineChars="200"/>
        <w:jc w:val="left"/>
      </w:pPr>
      <w:r>
        <w:rPr>
          <w:position w:val="-14"/>
        </w:rPr>
        <w:object>
          <v:shape id="_x0000_i1461" o:spt="75" type="#_x0000_t75" style="height:18.9pt;width:41.85pt;" o:ole="t" filled="f" o:preferrelative="t" stroked="f" coordsize="21600,21600">
            <v:path/>
            <v:fill on="f" focussize="0,0"/>
            <v:stroke on="f" joinstyle="miter"/>
            <v:imagedata r:id="rId852" o:title=""/>
            <o:lock v:ext="edit" aspectratio="t"/>
            <w10:wrap type="none"/>
            <w10:anchorlock/>
          </v:shape>
          <o:OLEObject Type="Embed" ProgID="Equation.DSMT4" ShapeID="_x0000_i1461" DrawAspect="Content" ObjectID="_1468076161" r:id="rId851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单一货币远期汇率收益率</w:t>
      </w:r>
    </w:p>
    <w:p>
      <w:pPr>
        <w:ind w:firstLine="420" w:firstLineChars="200"/>
        <w:jc w:val="left"/>
      </w:pPr>
      <w:r>
        <w:rPr>
          <w:position w:val="-14"/>
        </w:rPr>
        <w:object>
          <v:shape id="_x0000_i1462" o:spt="75" type="#_x0000_t75" style="height:18.9pt;width:38.8pt;" o:ole="t" filled="f" o:preferrelative="t" stroked="f" coordsize="21600,21600">
            <v:path/>
            <v:fill on="f" focussize="0,0"/>
            <v:stroke on="f" joinstyle="miter"/>
            <v:imagedata r:id="rId854" o:title=""/>
            <o:lock v:ext="edit" aspectratio="t"/>
            <w10:wrap type="none"/>
            <w10:anchorlock/>
          </v:shape>
          <o:OLEObject Type="Embed" ProgID="Equation.DSMT4" ShapeID="_x0000_i1462" DrawAspect="Content" ObjectID="_1468076162" r:id="rId853">
            <o:LockedField>false</o:LockedField>
          </o:OLEObject>
        </w:object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>t时刻到期日为T的远期汇率</w:t>
      </w:r>
    </w:p>
    <w:p>
      <w:pPr>
        <w:ind w:firstLine="420" w:firstLineChars="200"/>
        <w:jc w:val="left"/>
      </w:pPr>
      <w:r>
        <w:rPr>
          <w:position w:val="-14"/>
        </w:rPr>
        <w:object>
          <v:shape id="_x0000_i1463" o:spt="75" type="#_x0000_t75" style="height:18.9pt;width:36.75pt;" o:ole="t" filled="f" o:preferrelative="t" stroked="f" coordsize="21600,21600">
            <v:path/>
            <v:fill on="f" focussize="0,0"/>
            <v:stroke on="f" joinstyle="miter"/>
            <v:imagedata r:id="rId856" o:title=""/>
            <o:lock v:ext="edit" aspectratio="t"/>
            <w10:wrap type="none"/>
            <w10:anchorlock/>
          </v:shape>
          <o:OLEObject Type="Embed" ProgID="Equation.DSMT4" ShapeID="_x0000_i1463" DrawAspect="Content" ObjectID="_1468076163" r:id="rId855">
            <o:LockedField>false</o:LockedField>
          </o:OLEObject>
        </w:object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>t时刻的即期汇率</w:t>
      </w:r>
    </w:p>
    <w:p>
      <w:pPr>
        <w:ind w:firstLine="420" w:firstLineChars="200"/>
        <w:jc w:val="left"/>
      </w:pPr>
      <w:r>
        <w:rPr>
          <w:position w:val="-14"/>
        </w:rPr>
        <w:object>
          <v:shape id="_x0000_i1464" o:spt="75" type="#_x0000_t75" style="height:18.9pt;width:27.05pt;" o:ole="t" filled="f" o:preferrelative="t" stroked="f" coordsize="21600,21600">
            <v:path/>
            <v:fill on="f" focussize="0,0"/>
            <v:stroke on="f" joinstyle="miter"/>
            <v:imagedata r:id="rId858" o:title=""/>
            <o:lock v:ext="edit" aspectratio="t"/>
            <w10:wrap type="none"/>
            <w10:anchorlock/>
          </v:shape>
          <o:OLEObject Type="Embed" ProgID="Equation.DSMT4" ShapeID="_x0000_i1464" DrawAspect="Content" ObjectID="_1468076164" r:id="rId857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基准货币的无风险利率</w:t>
      </w:r>
    </w:p>
    <w:p>
      <w:pPr>
        <w:ind w:firstLine="420" w:firstLineChars="200"/>
        <w:jc w:val="left"/>
      </w:pPr>
      <w:r>
        <w:rPr>
          <w:position w:val="-14"/>
        </w:rPr>
        <w:object>
          <v:shape id="_x0000_i1465" o:spt="75" type="#_x0000_t75" style="height:18.9pt;width:27.05pt;" o:ole="t" filled="f" o:preferrelative="t" stroked="f" coordsize="21600,21600">
            <v:path/>
            <v:fill on="f" focussize="0,0"/>
            <v:stroke on="f" joinstyle="miter"/>
            <v:imagedata r:id="rId860" o:title=""/>
            <o:lock v:ext="edit" aspectratio="t"/>
            <w10:wrap type="none"/>
            <w10:anchorlock/>
          </v:shape>
          <o:OLEObject Type="Embed" ProgID="Equation.DSMT4" ShapeID="_x0000_i1465" DrawAspect="Content" ObjectID="_1468076165" r:id="rId859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本国货币的无风险利率</w:t>
      </w:r>
    </w:p>
    <w:p>
      <w:pPr>
        <w:jc w:val="left"/>
      </w:pPr>
    </w:p>
    <w:p>
      <w:pPr>
        <w:pStyle w:val="6"/>
      </w:pPr>
      <w:r>
        <w:rPr>
          <w:rFonts w:hint="eastAsia"/>
        </w:rPr>
        <w:t>预期之外的货币收益率EBC/LC</w:t>
      </w:r>
    </w:p>
    <w:p>
      <w:pPr>
        <w:jc w:val="center"/>
      </w:pPr>
      <w:r>
        <w:rPr>
          <w:b/>
          <w:position w:val="-32"/>
        </w:rPr>
        <w:object>
          <v:shape id="_x0000_i1466" o:spt="75" type="#_x0000_t75" style="height:36.75pt;width:281.35pt;" o:ole="t" filled="t" o:preferrelative="t" stroked="f" coordsize="21600,21600">
            <v:path/>
            <v:fill on="t" focussize="0,0"/>
            <v:stroke on="f" joinstyle="miter"/>
            <v:imagedata r:id="rId862" o:title=""/>
            <o:lock v:ext="edit" aspectratio="t"/>
            <w10:wrap type="none"/>
            <w10:anchorlock/>
          </v:shape>
          <o:OLEObject Type="Embed" ProgID="Equation.3" ShapeID="_x0000_i1466" DrawAspect="Content" ObjectID="_1468076166" r:id="rId861">
            <o:LockedField>false</o:LockedField>
          </o:OLEObject>
        </w:object>
      </w:r>
    </w:p>
    <w:p>
      <w:pPr>
        <w:jc w:val="left"/>
      </w:pPr>
      <w:r>
        <w:rPr>
          <w:rFonts w:hint="eastAsia"/>
        </w:rPr>
        <w:t>此处</w:t>
      </w:r>
    </w:p>
    <w:p>
      <w:pPr>
        <w:ind w:firstLine="420" w:firstLineChars="200"/>
        <w:jc w:val="left"/>
      </w:pPr>
      <w:r>
        <w:rPr>
          <w:position w:val="-12"/>
        </w:rPr>
        <w:object>
          <v:shape id="_x0000_i1467" o:spt="75" type="#_x0000_t75" style="height:18.9pt;width:33.7pt;" o:ole="t" filled="f" o:preferrelative="t" stroked="f" coordsize="21600,21600">
            <v:path/>
            <v:fill on="f" focussize="0,0"/>
            <v:stroke on="f" joinstyle="miter"/>
            <v:imagedata r:id="rId844" o:title=""/>
            <o:lock v:ext="edit" aspectratio="t"/>
            <w10:wrap type="none"/>
            <w10:anchorlock/>
          </v:shape>
          <o:OLEObject Type="Embed" ProgID="Equation.DSMT4" ShapeID="_x0000_i1467" DrawAspect="Content" ObjectID="_1468076167" r:id="rId863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单一货币收益率</w:t>
      </w:r>
    </w:p>
    <w:p>
      <w:pPr>
        <w:ind w:firstLine="420" w:firstLineChars="200"/>
        <w:jc w:val="left"/>
      </w:pPr>
      <w:r>
        <w:rPr>
          <w:position w:val="-12"/>
        </w:rPr>
        <w:object>
          <v:shape id="_x0000_i1468" o:spt="75" type="#_x0000_t75" style="height:18.9pt;width:12.25pt;" o:ole="t" filled="f" o:preferrelative="t" stroked="f" coordsize="21600,21600">
            <v:path/>
            <v:fill on="f" focussize="0,0"/>
            <v:stroke on="f" joinstyle="miter"/>
            <v:imagedata r:id="rId865" o:title=""/>
            <o:lock v:ext="edit" aspectratio="t"/>
            <w10:wrap type="none"/>
            <w10:anchorlock/>
          </v:shape>
          <o:OLEObject Type="Embed" ProgID="Equation.DSMT4" ShapeID="_x0000_i1468" DrawAspect="Content" ObjectID="_1468076168" r:id="rId864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期末即期汇率</w:t>
      </w:r>
    </w:p>
    <w:p>
      <w:pPr>
        <w:ind w:firstLine="420" w:firstLineChars="200"/>
        <w:jc w:val="left"/>
      </w:pPr>
      <w:r>
        <w:rPr>
          <w:position w:val="-14"/>
        </w:rPr>
        <w:object>
          <v:shape id="_x0000_i1469" o:spt="75" type="#_x0000_t75" style="height:18.9pt;width:24pt;" o:ole="t" filled="f" o:preferrelative="t" stroked="f" coordsize="21600,21600">
            <v:path/>
            <v:fill on="f" focussize="0,0"/>
            <v:stroke on="f" joinstyle="miter"/>
            <v:imagedata r:id="rId867" o:title=""/>
            <o:lock v:ext="edit" aspectratio="t"/>
            <w10:wrap type="none"/>
            <w10:anchorlock/>
          </v:shape>
          <o:OLEObject Type="Embed" ProgID="Equation.DSMT4" ShapeID="_x0000_i1469" DrawAspect="Content" ObjectID="_1468076169" r:id="rId866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本期从期初到期末的远期汇率</w:t>
      </w:r>
    </w:p>
    <w:p>
      <w:pPr>
        <w:ind w:firstLine="420" w:firstLineChars="200"/>
        <w:jc w:val="left"/>
      </w:pPr>
      <w:r>
        <w:rPr>
          <w:position w:val="-14"/>
        </w:rPr>
        <w:object>
          <v:shape id="_x0000_i1470" o:spt="75" type="#_x0000_t75" style="height:18.9pt;width:27.05pt;" o:ole="t" filled="f" o:preferrelative="t" stroked="f" coordsize="21600,21600">
            <v:path/>
            <v:fill on="f" focussize="0,0"/>
            <v:stroke on="f" joinstyle="miter"/>
            <v:imagedata r:id="rId858" o:title=""/>
            <o:lock v:ext="edit" aspectratio="t"/>
            <w10:wrap type="none"/>
            <w10:anchorlock/>
          </v:shape>
          <o:OLEObject Type="Embed" ProgID="Equation.DSMT4" ShapeID="_x0000_i1470" DrawAspect="Content" ObjectID="_1468076170" r:id="rId868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基准货币的无风险利率</w:t>
      </w:r>
    </w:p>
    <w:p>
      <w:pPr>
        <w:ind w:firstLine="420" w:firstLineChars="200"/>
        <w:jc w:val="left"/>
      </w:pPr>
      <w:r>
        <w:rPr>
          <w:position w:val="-14"/>
        </w:rPr>
        <w:object>
          <v:shape id="_x0000_i1471" o:spt="75" type="#_x0000_t75" style="height:18.9pt;width:27.05pt;" o:ole="t" filled="f" o:preferrelative="t" stroked="f" coordsize="21600,21600">
            <v:path/>
            <v:fill on="f" focussize="0,0"/>
            <v:stroke on="f" joinstyle="miter"/>
            <v:imagedata r:id="rId860" o:title=""/>
            <o:lock v:ext="edit" aspectratio="t"/>
            <w10:wrap type="none"/>
            <w10:anchorlock/>
          </v:shape>
          <o:OLEObject Type="Embed" ProgID="Equation.DSMT4" ShapeID="_x0000_i1471" DrawAspect="Content" ObjectID="_1468076171" r:id="rId869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本国货币的无风险利率</w:t>
      </w:r>
    </w:p>
    <w:p>
      <w:pPr>
        <w:ind w:firstLine="420" w:firstLineChars="200"/>
        <w:jc w:val="left"/>
      </w:pPr>
      <w:r>
        <w:rPr>
          <w:position w:val="-12"/>
        </w:rPr>
        <w:object>
          <v:shape id="_x0000_i1472" o:spt="75" type="#_x0000_t75" style="height:18.9pt;width:33.7pt;" o:ole="t" filled="f" o:preferrelative="t" stroked="f" coordsize="21600,21600">
            <v:path/>
            <v:fill on="f" focussize="0,0"/>
            <v:stroke on="f" joinstyle="miter"/>
            <v:imagedata r:id="rId871" o:title=""/>
            <o:lock v:ext="edit" aspectratio="t"/>
            <w10:wrap type="none"/>
            <w10:anchorlock/>
          </v:shape>
          <o:OLEObject Type="Embed" ProgID="Equation.DSMT4" ShapeID="_x0000_i1472" DrawAspect="Content" ObjectID="_1468076172" r:id="rId870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预期之外的货币收益率</w:t>
      </w:r>
    </w:p>
    <w:p>
      <w:pPr>
        <w:ind w:firstLine="420" w:firstLineChars="200"/>
        <w:jc w:val="left"/>
      </w:pPr>
      <w:r>
        <w:rPr>
          <w:position w:val="-14"/>
        </w:rPr>
        <w:object>
          <v:shape id="_x0000_i1473" o:spt="75" type="#_x0000_t75" style="height:18.9pt;width:41.85pt;" o:ole="t" filled="f" o:preferrelative="t" stroked="f" coordsize="21600,21600">
            <v:path/>
            <v:fill on="f" focussize="0,0"/>
            <v:stroke on="f" joinstyle="miter"/>
            <v:imagedata r:id="rId873" o:title=""/>
            <o:lock v:ext="edit" aspectratio="t"/>
            <w10:wrap type="none"/>
            <w10:anchorlock/>
          </v:shape>
          <o:OLEObject Type="Embed" ProgID="Equation.DSMT4" ShapeID="_x0000_i1473" DrawAspect="Content" ObjectID="_1468076173" r:id="rId872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单一货币远期汇率收益率</w:t>
      </w:r>
    </w:p>
    <w:p>
      <w:pPr>
        <w:jc w:val="left"/>
      </w:pPr>
    </w:p>
    <w:p>
      <w:pPr>
        <w:pStyle w:val="5"/>
        <w:rPr>
          <w:lang w:eastAsia="zh-CN"/>
        </w:rPr>
      </w:pPr>
      <w:r>
        <w:rPr>
          <w:lang w:eastAsia="zh-CN"/>
        </w:rPr>
        <w:t>6</w:t>
      </w:r>
      <w:r>
        <w:rPr>
          <w:rFonts w:hint="eastAsia"/>
          <w:lang w:eastAsia="zh-CN"/>
        </w:rPr>
        <w:t>.1.4 业绩归因分析</w:t>
      </w:r>
    </w:p>
    <w:p>
      <w:pPr>
        <w:pStyle w:val="6"/>
      </w:pPr>
      <w:bookmarkStart w:id="113" w:name="OLE_LINK51"/>
      <w:bookmarkStart w:id="114" w:name="OLE_LINK48"/>
      <w:bookmarkStart w:id="115" w:name="OLE_LINK47"/>
      <w:r>
        <w:rPr>
          <w:rFonts w:hint="eastAsia"/>
        </w:rPr>
        <w:t>单期收益率分解法</w:t>
      </w:r>
    </w:p>
    <w:bookmarkEnd w:id="113"/>
    <w:bookmarkEnd w:id="114"/>
    <w:bookmarkEnd w:id="115"/>
    <w:p>
      <w:pPr>
        <w:ind w:firstLine="630" w:firstLineChars="300"/>
        <w:jc w:val="center"/>
      </w:pPr>
      <w:r>
        <w:rPr>
          <w:rFonts w:hint="eastAsia"/>
          <w:position w:val="-28"/>
        </w:rPr>
        <w:object>
          <v:shape id="_x0000_i1474" o:spt="75" type="#_x0000_t75" style="height:33.7pt;width:152.15pt;" o:ole="t" filled="f" o:preferrelative="t" stroked="f" coordsize="21600,21600">
            <v:path/>
            <v:fill on="f" focussize="0,0"/>
            <v:stroke on="f" joinstyle="miter"/>
            <v:imagedata r:id="rId875" o:title=""/>
            <o:lock v:ext="edit" aspectratio="t"/>
            <w10:wrap type="none"/>
            <w10:anchorlock/>
          </v:shape>
          <o:OLEObject Type="Embed" ProgID="Equation.3" ShapeID="_x0000_i1474" DrawAspect="Content" ObjectID="_1468076174" r:id="rId874">
            <o:LockedField>false</o:LockedField>
          </o:OLEObject>
        </w:object>
      </w:r>
      <w:r>
        <w:rPr>
          <w:rFonts w:hint="eastAsia"/>
        </w:rPr>
        <w:t xml:space="preserve"> 并且 </w:t>
      </w:r>
      <w:r>
        <w:rPr>
          <w:rFonts w:hint="eastAsia"/>
          <w:position w:val="-28"/>
        </w:rPr>
        <w:object>
          <v:shape id="_x0000_i1475" o:spt="75" type="#_x0000_t75" style="height:33.7pt;width:54.65pt;" o:ole="t" filled="f" o:preferrelative="t" stroked="f" coordsize="21600,21600">
            <v:path/>
            <v:fill on="f" focussize="0,0"/>
            <v:stroke on="f" joinstyle="miter"/>
            <v:imagedata r:id="rId877" o:title=""/>
            <o:lock v:ext="edit" aspectratio="t"/>
            <w10:wrap type="none"/>
            <w10:anchorlock/>
          </v:shape>
          <o:OLEObject Type="Embed" ProgID="Equation.3" ShapeID="_x0000_i1475" DrawAspect="Content" ObjectID="_1468076175" r:id="rId876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20" w:firstLineChars="200"/>
      </w:pPr>
      <w:bookmarkStart w:id="116" w:name="OLE_LINK50"/>
      <w:bookmarkStart w:id="117" w:name="OLE_LINK49"/>
      <w:r>
        <w:rPr>
          <w:position w:val="-14"/>
        </w:rPr>
        <w:object>
          <v:shape id="_x0000_i1476" o:spt="75" type="#_x0000_t75" style="height:19.4pt;width:21.95pt;" o:ole="t" filled="f" o:preferrelative="t" stroked="f" coordsize="21600,21600">
            <v:path/>
            <v:fill on="f" focussize="0,0"/>
            <v:stroke on="f" joinstyle="miter"/>
            <v:imagedata r:id="rId879" o:title=""/>
            <o:lock v:ext="edit" aspectratio="t"/>
            <w10:wrap type="none"/>
            <w10:anchorlock/>
          </v:shape>
          <o:OLEObject Type="Embed" ProgID="Equation.3" ShapeID="_x0000_i1476" DrawAspect="Content" ObjectID="_1468076176" r:id="rId878">
            <o:LockedField>false</o:LockedField>
          </o:OLEObject>
        </w:object>
      </w:r>
      <w:bookmarkEnd w:id="116"/>
      <w:bookmarkEnd w:id="117"/>
      <w:r>
        <w:rPr>
          <w:position w:val="-14"/>
        </w:rPr>
        <w:tab/>
      </w:r>
      <w:r>
        <w:rPr>
          <w:rFonts w:hint="eastAsia"/>
        </w:rPr>
        <w:t>使用基准货币计价的在t期的投资组合P的累积收益率</w:t>
      </w:r>
    </w:p>
    <w:p>
      <w:pPr>
        <w:ind w:firstLine="420" w:firstLineChars="200"/>
      </w:pPr>
      <w:r>
        <w:rPr>
          <w:position w:val="-14"/>
        </w:rPr>
        <w:object>
          <v:shape id="_x0000_i1477" o:spt="75" type="#_x0000_t75" style="height:19.4pt;width:31.65pt;" o:ole="t" filled="f" o:preferrelative="t" stroked="f" coordsize="21600,21600">
            <v:path/>
            <v:fill on="f" focussize="0,0"/>
            <v:stroke on="f" joinstyle="miter"/>
            <v:imagedata r:id="rId881" o:title=""/>
            <o:lock v:ext="edit" aspectratio="t"/>
            <w10:wrap type="none"/>
            <w10:anchorlock/>
          </v:shape>
          <o:OLEObject Type="Embed" ProgID="Equation.3" ShapeID="_x0000_i1477" DrawAspect="Content" ObjectID="_1468076177" r:id="rId880">
            <o:LockedField>false</o:LockedField>
          </o:OLEObject>
        </w:object>
      </w:r>
      <w:bookmarkStart w:id="118" w:name="OLE_LINK44"/>
      <w:bookmarkStart w:id="119" w:name="OLE_LINK43"/>
      <w:r>
        <w:rPr>
          <w:position w:val="-14"/>
        </w:rPr>
        <w:tab/>
      </w:r>
      <w:r>
        <w:rPr>
          <w:rFonts w:hint="eastAsia"/>
        </w:rPr>
        <w:t>使用基准货币计价的在t期</w:t>
      </w:r>
      <w:bookmarkStart w:id="120" w:name="OLE_LINK40"/>
      <w:r>
        <w:rPr>
          <w:rFonts w:hint="eastAsia"/>
        </w:rPr>
        <w:t>的投资组合组成部分i对</w:t>
      </w:r>
      <w:bookmarkEnd w:id="120"/>
      <w:r>
        <w:rPr>
          <w:rFonts w:hint="eastAsia"/>
        </w:rPr>
        <w:t>投资组合收益率的贡献</w:t>
      </w:r>
      <w:bookmarkEnd w:id="118"/>
      <w:bookmarkEnd w:id="119"/>
    </w:p>
    <w:p>
      <w:pPr>
        <w:ind w:firstLine="420" w:firstLineChars="200"/>
      </w:pPr>
      <w:bookmarkStart w:id="121" w:name="OLE_LINK42"/>
      <w:bookmarkStart w:id="122" w:name="OLE_LINK41"/>
      <w:r>
        <w:rPr>
          <w:position w:val="-14"/>
        </w:rPr>
        <w:object>
          <v:shape id="_x0000_i1478" o:spt="75" type="#_x0000_t75" style="height:18.9pt;width:26.05pt;" o:ole="t" filled="f" o:preferrelative="t" stroked="f" coordsize="21600,21600">
            <v:path/>
            <v:fill on="f" focussize="0,0"/>
            <v:stroke on="f" joinstyle="miter"/>
            <v:imagedata r:id="rId883" o:title=""/>
            <o:lock v:ext="edit" aspectratio="t"/>
            <w10:wrap type="none"/>
            <w10:anchorlock/>
          </v:shape>
          <o:OLEObject Type="Embed" ProgID="Equation.3" ShapeID="_x0000_i1478" DrawAspect="Content" ObjectID="_1468076178" r:id="rId882">
            <o:LockedField>false</o:LockedField>
          </o:OLEObject>
        </w:object>
      </w:r>
      <w:bookmarkEnd w:id="121"/>
      <w:bookmarkEnd w:id="122"/>
      <w:r>
        <w:rPr>
          <w:position w:val="-14"/>
        </w:rPr>
        <w:tab/>
      </w:r>
      <w:r>
        <w:rPr>
          <w:rFonts w:hint="eastAsia"/>
        </w:rPr>
        <w:t>投资组合组成部分i在t期期初的比重</w:t>
      </w:r>
    </w:p>
    <w:p>
      <w:pPr>
        <w:ind w:firstLine="420" w:firstLineChars="200"/>
      </w:pPr>
      <w:bookmarkStart w:id="123" w:name="OLE_LINK45"/>
      <w:bookmarkStart w:id="124" w:name="OLE_LINK46"/>
      <w:r>
        <w:rPr>
          <w:position w:val="-14"/>
        </w:rPr>
        <w:object>
          <v:shape id="_x0000_i1479" o:spt="75" type="#_x0000_t75" style="height:19.4pt;width:26.05pt;" o:ole="t" filled="f" o:preferrelative="t" stroked="f" coordsize="21600,21600">
            <v:path/>
            <v:fill on="f" focussize="0,0"/>
            <v:stroke on="f" joinstyle="miter"/>
            <v:imagedata r:id="rId885" o:title=""/>
            <o:lock v:ext="edit" aspectratio="t"/>
            <w10:wrap type="none"/>
            <w10:anchorlock/>
          </v:shape>
          <o:OLEObject Type="Embed" ProgID="Equation.3" ShapeID="_x0000_i1479" DrawAspect="Content" ObjectID="_1468076179" r:id="rId884">
            <o:LockedField>false</o:LockedField>
          </o:OLEObject>
        </w:object>
      </w:r>
      <w:bookmarkEnd w:id="123"/>
      <w:bookmarkEnd w:id="124"/>
      <w:r>
        <w:rPr>
          <w:position w:val="-14"/>
        </w:rPr>
        <w:tab/>
      </w:r>
      <w:r>
        <w:rPr>
          <w:rFonts w:hint="eastAsia"/>
        </w:rPr>
        <w:t>使用基准货币计价的在t期的投资组合组成部分i的收益对投资组合收益的比率</w:t>
      </w:r>
    </w:p>
    <w:p>
      <w:pPr>
        <w:ind w:firstLine="420" w:firstLineChars="200"/>
      </w:pPr>
    </w:p>
    <w:p>
      <w:pPr>
        <w:pStyle w:val="6"/>
      </w:pPr>
      <w:r>
        <w:rPr>
          <w:rFonts w:hint="eastAsia"/>
        </w:rPr>
        <w:t>多期收益率分解法</w:t>
      </w:r>
    </w:p>
    <w:p>
      <w:pPr>
        <w:jc w:val="center"/>
      </w:pPr>
      <w:r>
        <w:rPr>
          <w:rFonts w:hint="eastAsia"/>
          <w:position w:val="-28"/>
        </w:rPr>
        <w:object>
          <v:shape id="_x0000_i1480" o:spt="75" type="#_x0000_t75" style="height:33.7pt;width:255.85pt;" o:ole="t" filled="f" o:preferrelative="t" stroked="f" coordsize="21600,21600">
            <v:path/>
            <v:fill on="f" focussize="0,0"/>
            <v:stroke on="f" joinstyle="miter"/>
            <v:imagedata r:id="rId887" o:title=""/>
            <o:lock v:ext="edit" aspectratio="t"/>
            <w10:wrap type="none"/>
            <w10:anchorlock/>
          </v:shape>
          <o:OLEObject Type="Embed" ProgID="Equation.3" ShapeID="_x0000_i1480" DrawAspect="Content" ObjectID="_1468076180" r:id="rId886">
            <o:LockedField>false</o:LockedField>
          </o:OLEObject>
        </w:object>
      </w:r>
    </w:p>
    <w:p>
      <w:bookmarkStart w:id="125" w:name="OLE_LINK52"/>
      <w:bookmarkStart w:id="126" w:name="OLE_LINK53"/>
      <w:r>
        <w:rPr>
          <w:rFonts w:hint="eastAsia"/>
        </w:rPr>
        <w:t>此处</w:t>
      </w:r>
    </w:p>
    <w:p>
      <w:pPr>
        <w:ind w:firstLine="420"/>
      </w:pPr>
      <w:r>
        <w:rPr>
          <w:position w:val="-14"/>
        </w:rPr>
        <w:object>
          <v:shape id="_x0000_i1481" o:spt="75" type="#_x0000_t75" style="height:19.4pt;width:33.7pt;" o:ole="t" filled="f" o:preferrelative="t" stroked="f" coordsize="21600,21600">
            <v:path/>
            <v:fill on="f" focussize="0,0"/>
            <v:stroke on="f" joinstyle="miter"/>
            <v:imagedata r:id="rId889" o:title=""/>
            <o:lock v:ext="edit" aspectratio="t"/>
            <w10:wrap type="none"/>
            <w10:anchorlock/>
          </v:shape>
          <o:OLEObject Type="Embed" ProgID="Equation.3" ShapeID="_x0000_i1481" DrawAspect="Content" ObjectID="_1468076181" r:id="rId888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使用基准货币计价的在整个评价时期的投资组合P的累积收益率</w:t>
      </w:r>
    </w:p>
    <w:p>
      <w:pPr>
        <w:ind w:left="372" w:leftChars="177" w:firstLine="48"/>
      </w:pPr>
      <w:r>
        <w:rPr>
          <w:position w:val="-14"/>
        </w:rPr>
        <w:object>
          <v:shape id="_x0000_i1482" o:spt="75" type="#_x0000_t75" style="height:19.4pt;width:41.35pt;" o:ole="t" filled="f" o:preferrelative="t" stroked="f" coordsize="21600,21600">
            <v:path/>
            <v:fill on="f" focussize="0,0"/>
            <v:stroke on="f" joinstyle="miter"/>
            <v:imagedata r:id="rId891" o:title=""/>
            <o:lock v:ext="edit" aspectratio="t"/>
            <w10:wrap type="none"/>
            <w10:anchorlock/>
          </v:shape>
          <o:OLEObject Type="Embed" ProgID="Equation.3" ShapeID="_x0000_i1482" DrawAspect="Content" ObjectID="_1468076182" r:id="rId890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使用基准货币计价的在整个评价时期的投资组合组成部分i的累积收益对投资组合累积收益的比率</w:t>
      </w:r>
    </w:p>
    <w:p>
      <w:pPr>
        <w:ind w:left="372" w:leftChars="177" w:firstLine="48"/>
      </w:pPr>
      <w:r>
        <w:rPr>
          <w:position w:val="-14"/>
        </w:rPr>
        <w:object>
          <v:shape id="_x0000_i1483" o:spt="75" type="#_x0000_t75" style="height:19.4pt;width:51.05pt;" o:ole="t" filled="f" o:preferrelative="t" stroked="f" coordsize="21600,21600">
            <v:path/>
            <v:fill on="f" focussize="0,0"/>
            <v:stroke on="f" joinstyle="miter"/>
            <v:imagedata r:id="rId893" o:title=""/>
            <o:lock v:ext="edit" aspectratio="t"/>
            <w10:wrap type="none"/>
            <w10:anchorlock/>
          </v:shape>
          <o:OLEObject Type="Embed" ProgID="Equation.3" ShapeID="_x0000_i1483" DrawAspect="Content" ObjectID="_1468076183" r:id="rId892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使用基准货币计价的在评价期期初到t期期初的投资组合组成部分i的收益对投资组合收益的比率</w:t>
      </w:r>
    </w:p>
    <w:bookmarkEnd w:id="125"/>
    <w:bookmarkEnd w:id="126"/>
    <w:p>
      <w:pPr>
        <w:ind w:firstLine="420" w:firstLineChars="200"/>
      </w:pPr>
      <w:r>
        <w:rPr>
          <w:position w:val="-14"/>
        </w:rPr>
        <w:object>
          <v:shape id="_x0000_i1484" o:spt="75" type="#_x0000_t75" style="height:19.4pt;width:26.05pt;" o:ole="t" filled="f" o:preferrelative="t" stroked="f" coordsize="21600,21600">
            <v:path/>
            <v:fill on="f" focussize="0,0"/>
            <v:stroke on="f" joinstyle="miter"/>
            <v:imagedata r:id="rId885" o:title=""/>
            <o:lock v:ext="edit" aspectratio="t"/>
            <w10:wrap type="none"/>
            <w10:anchorlock/>
          </v:shape>
          <o:OLEObject Type="Embed" ProgID="Equation.3" ShapeID="_x0000_i1484" DrawAspect="Content" ObjectID="_1468076184" r:id="rId894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使用基准货币计价的在t期的投资组合组成部分i的收益对投资组合收益的比率</w:t>
      </w:r>
    </w:p>
    <w:p>
      <w:pPr>
        <w:ind w:firstLine="420" w:firstLineChars="200"/>
      </w:pPr>
      <w:r>
        <w:rPr>
          <w:position w:val="-14"/>
        </w:rPr>
        <w:object>
          <v:shape id="_x0000_i1485" o:spt="75" type="#_x0000_t75" style="height:19.4pt;width:31.65pt;" o:ole="t" filled="f" o:preferrelative="t" stroked="f" coordsize="21600,21600">
            <v:path/>
            <v:fill on="f" focussize="0,0"/>
            <v:stroke on="f" joinstyle="miter"/>
            <v:imagedata r:id="rId881" o:title=""/>
            <o:lock v:ext="edit" aspectratio="t"/>
            <w10:wrap type="none"/>
            <w10:anchorlock/>
          </v:shape>
          <o:OLEObject Type="Embed" ProgID="Equation.3" ShapeID="_x0000_i1485" DrawAspect="Content" ObjectID="_1468076185" r:id="rId895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使用基准货币计价的在t期的投资组合组成部分i对投资组合收益率的贡献</w:t>
      </w:r>
    </w:p>
    <w:p>
      <w:pPr>
        <w:pStyle w:val="7"/>
        <w:rPr>
          <w:lang w:eastAsia="zh-CN"/>
        </w:rPr>
      </w:pPr>
    </w:p>
    <w:p>
      <w:pPr>
        <w:pStyle w:val="6"/>
      </w:pPr>
      <w:r>
        <w:rPr>
          <w:rFonts w:hint="eastAsia"/>
        </w:rPr>
        <w:t>单期增加值分解法</w:t>
      </w:r>
    </w:p>
    <w:p>
      <w:pPr>
        <w:ind w:left="1470" w:hanging="1470" w:hangingChars="700"/>
        <w:jc w:val="center"/>
      </w:pPr>
      <w:r>
        <w:rPr>
          <w:rFonts w:hint="eastAsia"/>
          <w:position w:val="-28"/>
        </w:rPr>
        <w:object>
          <v:shape id="_x0000_i1486" o:spt="75" type="#_x0000_t75" style="height:33.7pt;width:288.5pt;" o:ole="t" filled="f" o:preferrelative="t" stroked="f" coordsize="21600,21600">
            <v:path/>
            <v:fill on="f" focussize="0,0"/>
            <v:stroke on="f" joinstyle="miter"/>
            <v:imagedata r:id="rId897" o:title=""/>
            <o:lock v:ext="edit" aspectratio="t"/>
            <w10:wrap type="none"/>
            <w10:anchorlock/>
          </v:shape>
          <o:OLEObject Type="Embed" ProgID="Equation.3" ShapeID="_x0000_i1486" DrawAspect="Content" ObjectID="_1468076186" r:id="rId896">
            <o:LockedField>false</o:LockedField>
          </o:OLEObject>
        </w:object>
      </w:r>
    </w:p>
    <w:p>
      <w:bookmarkStart w:id="127" w:name="OLE_LINK55"/>
      <w:bookmarkStart w:id="128" w:name="OLE_LINK54"/>
      <w:r>
        <w:rPr>
          <w:rFonts w:hint="eastAsia"/>
        </w:rPr>
        <w:t>此处</w:t>
      </w:r>
    </w:p>
    <w:p>
      <w:pPr>
        <w:ind w:firstLine="420"/>
      </w:pPr>
      <w:r>
        <w:rPr>
          <w:position w:val="-14"/>
        </w:rPr>
        <w:object>
          <v:shape id="_x0000_i1487" o:spt="75" type="#_x0000_t75" style="height:19.4pt;width:27.05pt;" o:ole="t" filled="f" o:preferrelative="t" stroked="f" coordsize="21600,21600">
            <v:path/>
            <v:fill on="f" focussize="0,0"/>
            <v:stroke on="f" joinstyle="miter"/>
            <v:imagedata r:id="rId899" o:title=""/>
            <o:lock v:ext="edit" aspectratio="t"/>
            <w10:wrap type="none"/>
            <w10:anchorlock/>
          </v:shape>
          <o:OLEObject Type="Embed" ProgID="Equation.3" ShapeID="_x0000_i1487" DrawAspect="Content" ObjectID="_1468076187" r:id="rId898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使用基准货币计价的在t期的投资组合P的增加值</w:t>
      </w:r>
    </w:p>
    <w:p>
      <w:pPr>
        <w:ind w:firstLine="420"/>
      </w:pPr>
      <w:r>
        <w:rPr>
          <w:position w:val="-14"/>
        </w:rPr>
        <w:object>
          <v:shape id="_x0000_i1488" o:spt="75" type="#_x0000_t75" style="height:19.4pt;width:36.75pt;" o:ole="t" filled="f" o:preferrelative="t" stroked="f" coordsize="21600,21600">
            <v:path/>
            <v:fill on="f" focussize="0,0"/>
            <v:stroke on="f" joinstyle="miter"/>
            <v:imagedata r:id="rId901" o:title=""/>
            <o:lock v:ext="edit" aspectratio="t"/>
            <w10:wrap type="none"/>
            <w10:anchorlock/>
          </v:shape>
          <o:OLEObject Type="Embed" ProgID="Equation.DSMT4" ShapeID="_x0000_i1488" DrawAspect="Content" ObjectID="_1468076188" r:id="rId900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使用基准货币计价的在t期的投资组合组成部分i的增加值对投资组合增加值的贡献</w:t>
      </w:r>
    </w:p>
    <w:p>
      <w:pPr>
        <w:ind w:firstLine="420" w:firstLineChars="200"/>
      </w:pPr>
      <w:r>
        <w:rPr>
          <w:position w:val="-14"/>
        </w:rPr>
        <w:object>
          <v:shape id="_x0000_i1489" o:spt="75" type="#_x0000_t75" style="height:19.4pt;width:31.65pt;" o:ole="t" filled="f" o:preferrelative="t" stroked="f" coordsize="21600,21600">
            <v:path/>
            <v:fill on="f" focussize="0,0"/>
            <v:stroke on="f" joinstyle="miter"/>
            <v:imagedata r:id="rId881" o:title=""/>
            <o:lock v:ext="edit" aspectratio="t"/>
            <w10:wrap type="none"/>
            <w10:anchorlock/>
          </v:shape>
          <o:OLEObject Type="Embed" ProgID="Equation.3" ShapeID="_x0000_i1489" DrawAspect="Content" ObjectID="_1468076189" r:id="rId902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使用基准货币计价的在t期的投资组合组成部分i对投资组合收益率的贡献</w:t>
      </w:r>
    </w:p>
    <w:p>
      <w:pPr>
        <w:ind w:firstLine="420"/>
      </w:pPr>
      <w:r>
        <w:rPr>
          <w:position w:val="-14"/>
        </w:rPr>
        <w:object>
          <v:shape id="_x0000_i1490" o:spt="75" type="#_x0000_t75" style="height:19.4pt;width:31.65pt;" o:ole="t" filled="f" o:preferrelative="t" stroked="f" coordsize="21600,21600">
            <v:path/>
            <v:fill on="f" focussize="0,0"/>
            <v:stroke on="f" joinstyle="miter"/>
            <v:imagedata r:id="rId904" o:title=""/>
            <o:lock v:ext="edit" aspectratio="t"/>
            <w10:wrap type="none"/>
            <w10:anchorlock/>
          </v:shape>
          <o:OLEObject Type="Embed" ProgID="Equation.3" ShapeID="_x0000_i1490" DrawAspect="Content" ObjectID="_1468076190" r:id="rId903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使用基准货币计价的在t期的投资组合基准组成部分i的收益对投资组合收益的比率</w:t>
      </w:r>
    </w:p>
    <w:p>
      <w:pPr>
        <w:ind w:left="1470" w:hanging="1470" w:hangingChars="700"/>
      </w:pPr>
    </w:p>
    <w:bookmarkEnd w:id="127"/>
    <w:bookmarkEnd w:id="128"/>
    <w:p>
      <w:pPr>
        <w:pStyle w:val="6"/>
      </w:pPr>
      <w:bookmarkStart w:id="129" w:name="OLE_LINK58"/>
      <w:bookmarkStart w:id="130" w:name="OLE_LINK59"/>
      <w:r>
        <w:rPr>
          <w:rFonts w:hint="eastAsia"/>
        </w:rPr>
        <w:t>多期增加值分解法</w:t>
      </w:r>
    </w:p>
    <w:bookmarkEnd w:id="129"/>
    <w:bookmarkEnd w:id="130"/>
    <w:p>
      <w:pPr>
        <w:jc w:val="center"/>
      </w:pPr>
      <w:r>
        <w:rPr>
          <w:position w:val="-28"/>
        </w:rPr>
        <w:object>
          <v:shape id="_x0000_i1491" o:spt="75" type="#_x0000_t75" style="height:33.7pt;width:306.9pt;" o:ole="t" filled="f" o:preferrelative="t" stroked="f" coordsize="21600,21600">
            <v:path/>
            <v:fill on="f" focussize="0,0"/>
            <v:stroke on="f" joinstyle="miter"/>
            <v:imagedata r:id="rId906" o:title=""/>
            <o:lock v:ext="edit" aspectratio="t"/>
            <w10:wrap type="none"/>
            <w10:anchorlock/>
          </v:shape>
          <o:OLEObject Type="Embed" ProgID="Equation.3" ShapeID="_x0000_i1491" DrawAspect="Content" ObjectID="_1468076191" r:id="rId905">
            <o:LockedField>false</o:LockedField>
          </o:OLEObject>
        </w:object>
      </w:r>
    </w:p>
    <w:p>
      <w:bookmarkStart w:id="131" w:name="OLE_LINK61"/>
      <w:bookmarkStart w:id="132" w:name="OLE_LINK60"/>
      <w:r>
        <w:rPr>
          <w:rFonts w:hint="eastAsia"/>
        </w:rPr>
        <w:t>此处</w:t>
      </w:r>
    </w:p>
    <w:p>
      <w:pPr>
        <w:ind w:firstLine="420"/>
      </w:pPr>
      <w:r>
        <w:rPr>
          <w:position w:val="-14"/>
        </w:rPr>
        <w:object>
          <v:shape id="_x0000_i1492" o:spt="75" type="#_x0000_t75" style="height:19.4pt;width:38.8pt;" o:ole="t" filled="f" o:preferrelative="t" stroked="f" coordsize="21600,21600">
            <v:path/>
            <v:fill on="f" focussize="0,0"/>
            <v:stroke on="f" joinstyle="miter"/>
            <v:imagedata r:id="rId908" o:title=""/>
            <o:lock v:ext="edit" aspectratio="t"/>
            <w10:wrap type="none"/>
            <w10:anchorlock/>
          </v:shape>
          <o:OLEObject Type="Embed" ProgID="Equation.3" ShapeID="_x0000_i1492" DrawAspect="Content" ObjectID="_1468076192" r:id="rId907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使用基准货币计价的在</w:t>
      </w:r>
      <w:bookmarkStart w:id="133" w:name="OLE_LINK57"/>
      <w:bookmarkStart w:id="134" w:name="OLE_LINK56"/>
      <w:r>
        <w:rPr>
          <w:rFonts w:hint="eastAsia"/>
        </w:rPr>
        <w:t>整个评价时期</w:t>
      </w:r>
      <w:bookmarkEnd w:id="133"/>
      <w:bookmarkEnd w:id="134"/>
      <w:r>
        <w:rPr>
          <w:rFonts w:hint="eastAsia"/>
        </w:rPr>
        <w:t>的投资组合P的累积增加值</w:t>
      </w:r>
    </w:p>
    <w:p>
      <w:pPr>
        <w:ind w:firstLine="420"/>
      </w:pPr>
      <w:r>
        <w:rPr>
          <w:position w:val="-12"/>
        </w:rPr>
        <w:object>
          <v:shape id="_x0000_i1493" o:spt="75" type="#_x0000_t75" style="height:18.9pt;width:48.5pt;" o:ole="t" filled="f" o:preferrelative="t" stroked="f" coordsize="21600,21600">
            <v:path/>
            <v:fill on="f" focussize="0,0"/>
            <v:stroke on="f" joinstyle="miter"/>
            <v:imagedata r:id="rId910" o:title=""/>
            <o:lock v:ext="edit" aspectratio="t"/>
            <w10:wrap type="none"/>
            <w10:anchorlock/>
          </v:shape>
          <o:OLEObject Type="Embed" ProgID="Equation.3" ShapeID="_x0000_i1493" DrawAspect="Content" ObjectID="_1468076193" r:id="rId909">
            <o:LockedField>false</o:LockedField>
          </o:OLEObject>
        </w:object>
      </w:r>
      <w:r>
        <w:rPr>
          <w:position w:val="-12"/>
        </w:rPr>
        <w:tab/>
      </w:r>
      <w:r>
        <w:rPr>
          <w:rFonts w:hint="eastAsia"/>
        </w:rPr>
        <w:t>使用基准货币计价的在整个评价时期的投资组合组成部分i的累积增加值对投资组合累积增加值的比率</w:t>
      </w:r>
    </w:p>
    <w:p>
      <w:pPr>
        <w:ind w:firstLine="420"/>
      </w:pPr>
      <w:r>
        <w:rPr>
          <w:position w:val="-14"/>
        </w:rPr>
        <w:object>
          <v:shape id="_x0000_i1494" o:spt="75" type="#_x0000_t75" style="height:19.4pt;width:36.75pt;" o:ole="t" filled="f" o:preferrelative="t" stroked="f" coordsize="21600,21600">
            <v:path/>
            <v:fill on="f" focussize="0,0"/>
            <v:stroke on="f" joinstyle="miter"/>
            <v:imagedata r:id="rId901" o:title=""/>
            <o:lock v:ext="edit" aspectratio="t"/>
            <w10:wrap type="none"/>
            <w10:anchorlock/>
          </v:shape>
          <o:OLEObject Type="Embed" ProgID="Equation.DSMT4" ShapeID="_x0000_i1494" DrawAspect="Content" ObjectID="_1468076194" r:id="rId911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使用基准货币计价的在t期的投资组合组成部分i的增加值对投资组合增加值的贡献</w:t>
      </w:r>
    </w:p>
    <w:p>
      <w:pPr>
        <w:ind w:firstLine="420"/>
      </w:pPr>
      <w:r>
        <w:rPr>
          <w:position w:val="-14"/>
        </w:rPr>
        <w:object>
          <v:shape id="_x0000_i1495" o:spt="75" type="#_x0000_t75" style="height:19.4pt;width:29.1pt;" o:ole="t" filled="f" o:preferrelative="t" stroked="f" coordsize="21600,21600">
            <v:path/>
            <v:fill on="f" focussize="0,0"/>
            <v:stroke on="f" joinstyle="miter"/>
            <v:imagedata r:id="rId913" o:title=""/>
            <o:lock v:ext="edit" aspectratio="t"/>
            <w10:wrap type="none"/>
            <w10:anchorlock/>
          </v:shape>
          <o:OLEObject Type="Embed" ProgID="Equation.3" ShapeID="_x0000_i1495" DrawAspect="Content" ObjectID="_1468076195" r:id="rId912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使用基准货币计价的从当前t期期末到整个评价时期期末的基准组合累积收益率</w:t>
      </w:r>
    </w:p>
    <w:p>
      <w:pPr>
        <w:ind w:firstLine="420"/>
      </w:pPr>
      <w:r>
        <w:rPr>
          <w:position w:val="-14"/>
        </w:rPr>
        <w:object>
          <v:shape id="_x0000_i1496" o:spt="75" type="#_x0000_t75" style="height:19.4pt;width:41.35pt;" o:ole="t" filled="f" o:preferrelative="t" stroked="f" coordsize="21600,21600">
            <v:path/>
            <v:fill on="f" focussize="0,0"/>
            <v:stroke on="f" joinstyle="miter"/>
            <v:imagedata r:id="rId915" o:title=""/>
            <o:lock v:ext="edit" aspectratio="t"/>
            <w10:wrap type="none"/>
            <w10:anchorlock/>
          </v:shape>
          <o:OLEObject Type="Embed" ProgID="Equation.3" ShapeID="_x0000_i1496" DrawAspect="Content" ObjectID="_1468076196" r:id="rId914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使用基准货币计价的从当前t期期初到整个评价时期期初的投资组合的累积收益率</w:t>
      </w:r>
    </w:p>
    <w:bookmarkEnd w:id="131"/>
    <w:bookmarkEnd w:id="132"/>
    <w:p>
      <w:pPr>
        <w:ind w:left="1890" w:leftChars="400" w:hanging="1050" w:hangingChars="500"/>
      </w:pPr>
    </w:p>
    <w:p>
      <w:pPr>
        <w:pStyle w:val="6"/>
      </w:pPr>
      <w:bookmarkStart w:id="135" w:name="OLE_LINK64"/>
      <w:bookmarkStart w:id="136" w:name="OLE_LINK65"/>
      <w:r>
        <w:rPr>
          <w:rFonts w:hint="eastAsia"/>
        </w:rPr>
        <w:t>单期收益率BHB分解法</w:t>
      </w:r>
    </w:p>
    <w:bookmarkEnd w:id="135"/>
    <w:bookmarkEnd w:id="136"/>
    <w:p>
      <w:pPr>
        <w:jc w:val="center"/>
      </w:pPr>
      <w:r>
        <w:rPr>
          <w:position w:val="-28"/>
        </w:rPr>
        <w:object>
          <v:shape id="_x0000_i1497" o:spt="75" type="#_x0000_t75" style="height:33.7pt;width:245.1pt;" o:ole="t" filled="f" o:preferrelative="t" stroked="f" coordsize="21600,21600">
            <v:path/>
            <v:fill on="f" focussize="0,0"/>
            <v:stroke on="f" joinstyle="miter"/>
            <v:imagedata r:id="rId917" o:title=""/>
            <o:lock v:ext="edit" aspectratio="t"/>
            <w10:wrap type="none"/>
            <w10:anchorlock/>
          </v:shape>
          <o:OLEObject Type="Embed" ProgID="Equation.3" ShapeID="_x0000_i1497" DrawAspect="Content" ObjectID="_1468076197" r:id="rId916">
            <o:LockedField>false</o:LockedField>
          </o:OLEObject>
        </w:object>
      </w:r>
    </w:p>
    <w:p>
      <w:pPr>
        <w:jc w:val="center"/>
      </w:pPr>
      <w:r>
        <w:rPr>
          <w:rFonts w:hint="eastAsia"/>
          <w:position w:val="-10"/>
        </w:rPr>
        <w:object>
          <v:shape id="_x0000_i1498" o:spt="75" type="#_x0000_t75" style="height:17.35pt;width:72pt;" o:ole="t" filled="f" o:preferrelative="t" stroked="f" coordsize="21600,21600">
            <v:path/>
            <v:fill on="f" focussize="0,0"/>
            <v:stroke on="f" joinstyle="miter"/>
            <v:imagedata r:id="rId919" o:title=""/>
            <o:lock v:ext="edit" aspectratio="t"/>
            <w10:wrap type="none"/>
            <w10:anchorlock/>
          </v:shape>
          <o:OLEObject Type="Embed" ProgID="Equation.3" ShapeID="_x0000_i1498" DrawAspect="Content" ObjectID="_1468076198" r:id="rId918">
            <o:LockedField>false</o:LockedField>
          </o:OLEObject>
        </w:object>
      </w:r>
      <w:r>
        <w:rPr>
          <w:rFonts w:hint="eastAsia"/>
          <w:position w:val="-14"/>
        </w:rPr>
        <w:object>
          <v:shape id="_x0000_i1499" o:spt="75" type="#_x0000_t75" style="height:20.45pt;width:137.35pt;" o:ole="t" filled="f" o:preferrelative="t" stroked="f" coordsize="21600,21600">
            <v:path/>
            <v:fill on="f" focussize="0,0"/>
            <v:stroke on="f" joinstyle="miter"/>
            <v:imagedata r:id="rId921" o:title=""/>
            <o:lock v:ext="edit" aspectratio="t"/>
            <w10:wrap type="none"/>
            <w10:anchorlock/>
          </v:shape>
          <o:OLEObject Type="Embed" ProgID="Equation.3" ShapeID="_x0000_i1499" DrawAspect="Content" ObjectID="_1468076199" r:id="rId920">
            <o:LockedField>false</o:LockedField>
          </o:OLEObject>
        </w:object>
      </w:r>
    </w:p>
    <w:p>
      <w:pPr>
        <w:jc w:val="center"/>
      </w:pPr>
      <w:r>
        <w:rPr>
          <w:rFonts w:hint="eastAsia"/>
          <w:position w:val="-10"/>
        </w:rPr>
        <w:object>
          <v:shape id="_x0000_i1500" o:spt="75" type="#_x0000_t75" style="height:17.35pt;width:72pt;" o:ole="t" filled="f" o:preferrelative="t" stroked="f" coordsize="21600,21600">
            <v:path/>
            <v:fill on="f" focussize="0,0"/>
            <v:stroke on="f" joinstyle="miter"/>
            <v:imagedata r:id="rId919" o:title=""/>
            <o:lock v:ext="edit" aspectratio="t"/>
            <w10:wrap type="none"/>
            <w10:anchorlock/>
          </v:shape>
          <o:OLEObject Type="Embed" ProgID="Equation.3" ShapeID="_x0000_i1500" DrawAspect="Content" ObjectID="_1468076200" r:id="rId922">
            <o:LockedField>false</o:LockedField>
          </o:OLEObject>
        </w:object>
      </w:r>
      <w:r>
        <w:rPr>
          <w:rFonts w:hint="eastAsia"/>
          <w:position w:val="-18"/>
        </w:rPr>
        <w:object>
          <v:shape id="_x0000_i1501" o:spt="75" type="#_x0000_t75" style="height:21.95pt;width:138.9pt;" o:ole="t" filled="f" o:preferrelative="t" stroked="f" coordsize="21600,21600">
            <v:path/>
            <v:fill on="f" focussize="0,0"/>
            <v:stroke on="f" joinstyle="miter"/>
            <v:imagedata r:id="rId924" o:title=""/>
            <o:lock v:ext="edit" aspectratio="t"/>
            <w10:wrap type="none"/>
            <w10:anchorlock/>
          </v:shape>
          <o:OLEObject Type="Embed" ProgID="Equation.3" ShapeID="_x0000_i1501" DrawAspect="Content" ObjectID="_1468076201" r:id="rId923">
            <o:LockedField>false</o:LockedField>
          </o:OLEObject>
        </w:object>
      </w:r>
    </w:p>
    <w:p>
      <w:pPr>
        <w:jc w:val="center"/>
      </w:pPr>
      <w:r>
        <w:rPr>
          <w:rFonts w:hint="eastAsia"/>
          <w:position w:val="-10"/>
        </w:rPr>
        <w:object>
          <v:shape id="_x0000_i1502" o:spt="75" type="#_x0000_t75" style="height:17.35pt;width:72pt;" o:ole="t" filled="f" o:preferrelative="t" stroked="f" coordsize="21600,21600">
            <v:path/>
            <v:fill on="f" focussize="0,0"/>
            <v:stroke on="f" joinstyle="miter"/>
            <v:imagedata r:id="rId919" o:title=""/>
            <o:lock v:ext="edit" aspectratio="t"/>
            <w10:wrap type="none"/>
            <w10:anchorlock/>
          </v:shape>
          <o:OLEObject Type="Embed" ProgID="Equation.3" ShapeID="_x0000_i1502" DrawAspect="Content" ObjectID="_1468076202" r:id="rId925">
            <o:LockedField>false</o:LockedField>
          </o:OLEObject>
        </w:object>
      </w:r>
      <w:r>
        <w:rPr>
          <w:rFonts w:hint="eastAsia"/>
          <w:position w:val="-18"/>
        </w:rPr>
        <w:object>
          <v:shape id="_x0000_i1503" o:spt="75" type="#_x0000_t75" style="height:21.95pt;width:180.25pt;" o:ole="t" filled="f" o:preferrelative="t" stroked="f" coordsize="21600,21600">
            <v:path/>
            <v:fill on="f" focussize="0,0"/>
            <v:stroke on="f" joinstyle="miter"/>
            <v:imagedata r:id="rId927" o:title=""/>
            <o:lock v:ext="edit" aspectratio="t"/>
            <w10:wrap type="none"/>
            <w10:anchorlock/>
          </v:shape>
          <o:OLEObject Type="Embed" ProgID="Equation.3" ShapeID="_x0000_i1503" DrawAspect="Content" ObjectID="_1468076203" r:id="rId926">
            <o:LockedField>false</o:LockedField>
          </o:OLEObject>
        </w:object>
      </w:r>
    </w:p>
    <w:p>
      <w:pPr>
        <w:jc w:val="center"/>
      </w:pPr>
    </w:p>
    <w:p>
      <w:pPr>
        <w:jc w:val="center"/>
      </w:pPr>
    </w:p>
    <w:p>
      <w:bookmarkStart w:id="137" w:name="OLE_LINK90"/>
      <w:bookmarkStart w:id="138" w:name="OLE_LINK66"/>
      <w:bookmarkStart w:id="139" w:name="OLE_LINK67"/>
      <w:r>
        <w:rPr>
          <w:rFonts w:hint="eastAsia"/>
        </w:rPr>
        <w:t>此处</w:t>
      </w:r>
    </w:p>
    <w:p>
      <w:pPr>
        <w:ind w:firstLine="420"/>
      </w:pPr>
      <w:bookmarkStart w:id="140" w:name="OLE_LINK92"/>
      <w:bookmarkStart w:id="141" w:name="OLE_LINK93"/>
      <w:r>
        <w:rPr>
          <w:position w:val="-14"/>
        </w:rPr>
        <w:object>
          <v:shape id="_x0000_i1504" o:spt="75" type="#_x0000_t75" style="height:19.4pt;width:27.05pt;" o:ole="t" filled="f" o:preferrelative="t" stroked="f" coordsize="21600,21600">
            <v:path/>
            <v:fill on="f" focussize="0,0"/>
            <v:stroke on="f" joinstyle="miter"/>
            <v:imagedata r:id="rId899" o:title=""/>
            <o:lock v:ext="edit" aspectratio="t"/>
            <w10:wrap type="none"/>
            <w10:anchorlock/>
          </v:shape>
          <o:OLEObject Type="Embed" ProgID="Equation.3" ShapeID="_x0000_i1504" DrawAspect="Content" ObjectID="_1468076204" r:id="rId928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使用基准货币计价的在t期的投资组合P的增加值</w:t>
      </w:r>
    </w:p>
    <w:p>
      <w:pPr>
        <w:ind w:firstLine="420"/>
      </w:pPr>
      <w:r>
        <w:rPr>
          <w:position w:val="-14"/>
        </w:rPr>
        <w:object>
          <v:shape id="_x0000_i1505" o:spt="75" type="#_x0000_t75" style="height:19.4pt;width:38.8pt;" o:ole="t" filled="f" o:preferrelative="t" stroked="f" coordsize="21600,21600">
            <v:path/>
            <v:fill on="f" focussize="0,0"/>
            <v:stroke on="f" joinstyle="miter"/>
            <v:imagedata r:id="rId930" o:title=""/>
            <o:lock v:ext="edit" aspectratio="t"/>
            <w10:wrap type="none"/>
            <w10:anchorlock/>
          </v:shape>
          <o:OLEObject Type="Embed" ProgID="Equation.3" ShapeID="_x0000_i1505" DrawAspect="Content" ObjectID="_1468076205" r:id="rId929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使用基准货币计价的在t期的投资组合组成部分i的资产配置效应</w:t>
      </w:r>
    </w:p>
    <w:p>
      <w:pPr>
        <w:ind w:firstLine="420"/>
      </w:pPr>
      <w:r>
        <w:rPr>
          <w:position w:val="-14"/>
        </w:rPr>
        <w:object>
          <v:shape id="_x0000_i1506" o:spt="75" type="#_x0000_t75" style="height:19.4pt;width:33.7pt;" o:ole="t" filled="f" o:preferrelative="t" stroked="f" coordsize="21600,21600">
            <v:path/>
            <v:fill on="f" focussize="0,0"/>
            <v:stroke on="f" joinstyle="miter"/>
            <v:imagedata r:id="rId932" o:title=""/>
            <o:lock v:ext="edit" aspectratio="t"/>
            <w10:wrap type="none"/>
            <w10:anchorlock/>
          </v:shape>
          <o:OLEObject Type="Embed" ProgID="Equation.3" ShapeID="_x0000_i1506" DrawAspect="Content" ObjectID="_1468076206" r:id="rId931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使用基准货币计价的在t期</w:t>
      </w:r>
      <w:bookmarkStart w:id="142" w:name="OLE_LINK62"/>
      <w:bookmarkStart w:id="143" w:name="OLE_LINK63"/>
      <w:r>
        <w:rPr>
          <w:rFonts w:hint="eastAsia"/>
        </w:rPr>
        <w:t>的投资组合组成部分i的证券选择效应</w:t>
      </w:r>
      <w:bookmarkEnd w:id="142"/>
      <w:bookmarkEnd w:id="143"/>
    </w:p>
    <w:p>
      <w:pPr>
        <w:ind w:firstLine="420"/>
      </w:pPr>
      <w:r>
        <w:rPr>
          <w:position w:val="-14"/>
        </w:rPr>
        <w:object>
          <v:shape id="_x0000_i1507" o:spt="75" type="#_x0000_t75" style="height:19.4pt;width:33.7pt;" o:ole="t" filled="f" o:preferrelative="t" stroked="f" coordsize="21600,21600">
            <v:path/>
            <v:fill on="f" focussize="0,0"/>
            <v:stroke on="f" joinstyle="miter"/>
            <v:imagedata r:id="rId934" o:title=""/>
            <o:lock v:ext="edit" aspectratio="t"/>
            <w10:wrap type="none"/>
            <w10:anchorlock/>
          </v:shape>
          <o:OLEObject Type="Embed" ProgID="Equation.3" ShapeID="_x0000_i1507" DrawAspect="Content" ObjectID="_1468076207" r:id="rId933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使用基准货币计价的在t期的投资组合组成部分i的相互作用效应</w:t>
      </w:r>
    </w:p>
    <w:bookmarkEnd w:id="140"/>
    <w:bookmarkEnd w:id="141"/>
    <w:p>
      <w:pPr>
        <w:pStyle w:val="7"/>
        <w:rPr>
          <w:lang w:eastAsia="zh-CN"/>
        </w:rPr>
      </w:pPr>
    </w:p>
    <w:bookmarkEnd w:id="137"/>
    <w:bookmarkEnd w:id="138"/>
    <w:bookmarkEnd w:id="139"/>
    <w:p>
      <w:pPr>
        <w:pStyle w:val="7"/>
        <w:rPr>
          <w:lang w:eastAsia="zh-CN"/>
        </w:rPr>
      </w:pPr>
      <w:r>
        <w:rPr>
          <w:rFonts w:hint="eastAsia"/>
          <w:lang w:eastAsia="zh-CN"/>
        </w:rPr>
        <w:t>单期收益率BF分解法</w:t>
      </w:r>
    </w:p>
    <w:p>
      <w:pPr>
        <w:jc w:val="center"/>
      </w:pPr>
      <w:r>
        <w:rPr>
          <w:position w:val="-28"/>
        </w:rPr>
        <w:object>
          <v:shape id="_x0000_i1508" o:spt="75" type="#_x0000_t75" style="height:33.7pt;width:245.1pt;" o:ole="t" filled="f" o:preferrelative="t" stroked="f" coordsize="21600,21600">
            <v:path/>
            <v:fill on="f" focussize="0,0"/>
            <v:stroke on="f" joinstyle="miter"/>
            <v:imagedata r:id="rId936" o:title=""/>
            <o:lock v:ext="edit" aspectratio="t"/>
            <w10:wrap type="none"/>
            <w10:anchorlock/>
          </v:shape>
          <o:OLEObject Type="Embed" ProgID="Equation.3" ShapeID="_x0000_i1508" DrawAspect="Content" ObjectID="_1468076208" r:id="rId935">
            <o:LockedField>false</o:LockedField>
          </o:OLEObject>
        </w:object>
      </w:r>
    </w:p>
    <w:p>
      <w:pPr>
        <w:jc w:val="center"/>
      </w:pPr>
      <w:r>
        <w:rPr>
          <w:rFonts w:hint="eastAsia"/>
          <w:position w:val="-14"/>
        </w:rPr>
        <w:object>
          <v:shape id="_x0000_i1509" o:spt="75" type="#_x0000_t75" style="height:20.45pt;width:176.15pt;" o:ole="t" filled="f" o:preferrelative="t" stroked="f" coordsize="21600,21600">
            <v:path/>
            <v:fill on="f" focussize="0,0"/>
            <v:stroke on="f" joinstyle="miter"/>
            <v:imagedata r:id="rId938" o:title=""/>
            <o:lock v:ext="edit" aspectratio="t"/>
            <w10:wrap type="none"/>
            <w10:anchorlock/>
          </v:shape>
          <o:OLEObject Type="Embed" ProgID="Equation.3" ShapeID="_x0000_i1509" DrawAspect="Content" ObjectID="_1468076209" r:id="rId937">
            <o:LockedField>false</o:LockedField>
          </o:OLEObject>
        </w:object>
      </w:r>
    </w:p>
    <w:p>
      <w:pPr>
        <w:jc w:val="center"/>
      </w:pPr>
      <w:r>
        <w:rPr>
          <w:rFonts w:hint="eastAsia"/>
          <w:position w:val="-18"/>
        </w:rPr>
        <w:object>
          <v:shape id="_x0000_i1510" o:spt="75" type="#_x0000_t75" style="height:21.95pt;width:138.9pt;" o:ole="t" filled="f" o:preferrelative="t" stroked="f" coordsize="21600,21600">
            <v:path/>
            <v:fill on="f" focussize="0,0"/>
            <v:stroke on="f" joinstyle="miter"/>
            <v:imagedata r:id="rId924" o:title=""/>
            <o:lock v:ext="edit" aspectratio="t"/>
            <w10:wrap type="none"/>
            <w10:anchorlock/>
          </v:shape>
          <o:OLEObject Type="Embed" ProgID="Equation.3" ShapeID="_x0000_i1510" DrawAspect="Content" ObjectID="_1468076210" r:id="rId939">
            <o:LockedField>false</o:LockedField>
          </o:OLEObject>
        </w:object>
      </w:r>
    </w:p>
    <w:p>
      <w:pPr>
        <w:jc w:val="center"/>
      </w:pPr>
      <w:r>
        <w:rPr>
          <w:rFonts w:hint="eastAsia"/>
          <w:position w:val="-18"/>
        </w:rPr>
        <w:object>
          <v:shape id="_x0000_i1511" o:spt="75" type="#_x0000_t75" style="height:21.95pt;width:180.25pt;" o:ole="t" filled="f" o:preferrelative="t" stroked="f" coordsize="21600,21600">
            <v:path/>
            <v:fill on="f" focussize="0,0"/>
            <v:stroke on="f" joinstyle="miter"/>
            <v:imagedata r:id="rId927" o:title=""/>
            <o:lock v:ext="edit" aspectratio="t"/>
            <w10:wrap type="none"/>
            <w10:anchorlock/>
          </v:shape>
          <o:OLEObject Type="Embed" ProgID="Equation.3" ShapeID="_x0000_i1511" DrawAspect="Content" ObjectID="_1468076211" r:id="rId940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20"/>
      </w:pPr>
      <w:r>
        <w:rPr>
          <w:position w:val="-14"/>
        </w:rPr>
        <w:object>
          <v:shape id="_x0000_i1512" o:spt="75" type="#_x0000_t75" style="height:19.4pt;width:27.05pt;" o:ole="t" filled="f" o:preferrelative="t" stroked="f" coordsize="21600,21600">
            <v:path/>
            <v:fill on="f" focussize="0,0"/>
            <v:stroke on="f" joinstyle="miter"/>
            <v:imagedata r:id="rId899" o:title=""/>
            <o:lock v:ext="edit" aspectratio="t"/>
            <w10:wrap type="none"/>
            <w10:anchorlock/>
          </v:shape>
          <o:OLEObject Type="Embed" ProgID="Equation.3" ShapeID="_x0000_i1512" DrawAspect="Content" ObjectID="_1468076212" r:id="rId941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使用基准货币计价的在t期的投资组合P的增加值</w:t>
      </w:r>
    </w:p>
    <w:p>
      <w:pPr>
        <w:ind w:firstLine="420"/>
      </w:pPr>
      <w:r>
        <w:rPr>
          <w:position w:val="-14"/>
        </w:rPr>
        <w:object>
          <v:shape id="_x0000_i1513" o:spt="75" type="#_x0000_t75" style="height:19.4pt;width:38.8pt;" o:ole="t" filled="f" o:preferrelative="t" stroked="f" coordsize="21600,21600">
            <v:path/>
            <v:fill on="f" focussize="0,0"/>
            <v:stroke on="f" joinstyle="miter"/>
            <v:imagedata r:id="rId930" o:title=""/>
            <o:lock v:ext="edit" aspectratio="t"/>
            <w10:wrap type="none"/>
            <w10:anchorlock/>
          </v:shape>
          <o:OLEObject Type="Embed" ProgID="Equation.3" ShapeID="_x0000_i1513" DrawAspect="Content" ObjectID="_1468076213" r:id="rId942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使用基准货币计价的在t期的投资组合组成部分i的资产配置效应</w:t>
      </w:r>
    </w:p>
    <w:p>
      <w:pPr>
        <w:ind w:firstLine="420"/>
      </w:pPr>
      <w:r>
        <w:rPr>
          <w:position w:val="-14"/>
        </w:rPr>
        <w:object>
          <v:shape id="_x0000_i1514" o:spt="75" type="#_x0000_t75" style="height:19.4pt;width:33.7pt;" o:ole="t" filled="f" o:preferrelative="t" stroked="f" coordsize="21600,21600">
            <v:path/>
            <v:fill on="f" focussize="0,0"/>
            <v:stroke on="f" joinstyle="miter"/>
            <v:imagedata r:id="rId932" o:title=""/>
            <o:lock v:ext="edit" aspectratio="t"/>
            <w10:wrap type="none"/>
            <w10:anchorlock/>
          </v:shape>
          <o:OLEObject Type="Embed" ProgID="Equation.3" ShapeID="_x0000_i1514" DrawAspect="Content" ObjectID="_1468076214" r:id="rId943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使用基准货币计价的在t期的投资组合组成部分i的证券选择效应</w:t>
      </w:r>
    </w:p>
    <w:p>
      <w:pPr>
        <w:ind w:firstLine="420"/>
      </w:pPr>
      <w:r>
        <w:rPr>
          <w:position w:val="-14"/>
        </w:rPr>
        <w:object>
          <v:shape id="_x0000_i1515" o:spt="75" type="#_x0000_t75" style="height:19.4pt;width:33.7pt;" o:ole="t" filled="f" o:preferrelative="t" stroked="f" coordsize="21600,21600">
            <v:path/>
            <v:fill on="f" focussize="0,0"/>
            <v:stroke on="f" joinstyle="miter"/>
            <v:imagedata r:id="rId934" o:title=""/>
            <o:lock v:ext="edit" aspectratio="t"/>
            <w10:wrap type="none"/>
            <w10:anchorlock/>
          </v:shape>
          <o:OLEObject Type="Embed" ProgID="Equation.3" ShapeID="_x0000_i1515" DrawAspect="Content" ObjectID="_1468076215" r:id="rId944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使用基准货币计价的在t期的投资组合组成部分i的相互作用效应</w:t>
      </w:r>
    </w:p>
    <w:p/>
    <w:p>
      <w:pPr>
        <w:pStyle w:val="6"/>
      </w:pPr>
      <w:bookmarkStart w:id="144" w:name="OLE_LINK69"/>
      <w:bookmarkStart w:id="145" w:name="OLE_LINK70"/>
      <w:r>
        <w:rPr>
          <w:rFonts w:hint="eastAsia"/>
        </w:rPr>
        <w:t>多期收益率BHB和BF分解法</w:t>
      </w:r>
    </w:p>
    <w:bookmarkEnd w:id="144"/>
    <w:bookmarkEnd w:id="145"/>
    <w:p>
      <w:pPr>
        <w:jc w:val="center"/>
      </w:pPr>
      <w:r>
        <w:rPr>
          <w:position w:val="-28"/>
        </w:rPr>
        <w:object>
          <v:shape id="_x0000_i1516" o:spt="75" type="#_x0000_t75" style="height:33.7pt;width:312pt;" o:ole="t" filled="f" o:preferrelative="t" stroked="f" coordsize="21600,21600">
            <v:path/>
            <v:fill on="f" focussize="0,0"/>
            <v:stroke on="f" joinstyle="miter"/>
            <v:imagedata r:id="rId946" o:title=""/>
            <o:lock v:ext="edit" aspectratio="t"/>
            <w10:wrap type="none"/>
            <w10:anchorlock/>
          </v:shape>
          <o:OLEObject Type="Embed" ProgID="Equation.3" ShapeID="_x0000_i1516" DrawAspect="Content" ObjectID="_1468076216" r:id="rId945">
            <o:LockedField>false</o:LockedField>
          </o:OLEObject>
        </w:object>
      </w:r>
    </w:p>
    <w:p>
      <w:pPr>
        <w:ind w:firstLine="630" w:firstLineChars="300"/>
        <w:jc w:val="center"/>
      </w:pPr>
      <w:r>
        <w:rPr>
          <w:position w:val="-28"/>
        </w:rPr>
        <w:object>
          <v:shape id="_x0000_i1517" o:spt="75" type="#_x0000_t75" style="height:33.2pt;width:244.6pt;" o:ole="t" filled="f" o:preferrelative="t" stroked="f" coordsize="21600,21600">
            <v:path/>
            <v:fill on="f" focussize="0,0"/>
            <v:stroke on="f" joinstyle="miter"/>
            <v:imagedata r:id="rId948" o:title=""/>
            <o:lock v:ext="edit" aspectratio="t"/>
            <w10:wrap type="none"/>
            <w10:anchorlock/>
          </v:shape>
          <o:OLEObject Type="Embed" ProgID="Equation.3" ShapeID="_x0000_i1517" DrawAspect="Content" ObjectID="_1468076217" r:id="rId947">
            <o:LockedField>false</o:LockedField>
          </o:OLEObject>
        </w:object>
      </w:r>
    </w:p>
    <w:p>
      <w:pPr>
        <w:ind w:firstLine="630" w:firstLineChars="300"/>
        <w:jc w:val="center"/>
      </w:pPr>
      <w:r>
        <w:rPr>
          <w:position w:val="-28"/>
        </w:rPr>
        <w:object>
          <v:shape id="_x0000_i1518" o:spt="75" type="#_x0000_t75" style="height:33.2pt;width:239.5pt;" o:ole="t" filled="f" o:preferrelative="t" stroked="f" coordsize="21600,21600">
            <v:path/>
            <v:fill on="f" focussize="0,0"/>
            <v:stroke on="f" joinstyle="miter"/>
            <v:imagedata r:id="rId950" o:title=""/>
            <o:lock v:ext="edit" aspectratio="t"/>
            <w10:wrap type="none"/>
            <w10:anchorlock/>
          </v:shape>
          <o:OLEObject Type="Embed" ProgID="Equation.3" ShapeID="_x0000_i1518" DrawAspect="Content" ObjectID="_1468076218" r:id="rId949">
            <o:LockedField>false</o:LockedField>
          </o:OLEObject>
        </w:object>
      </w:r>
    </w:p>
    <w:p>
      <w:pPr>
        <w:ind w:firstLine="630" w:firstLineChars="300"/>
        <w:jc w:val="center"/>
      </w:pPr>
      <w:r>
        <w:rPr>
          <w:position w:val="-28"/>
        </w:rPr>
        <w:object>
          <v:shape id="_x0000_i1519" o:spt="75" type="#_x0000_t75" style="height:33.2pt;width:236.95pt;" o:ole="t" filled="f" o:preferrelative="t" stroked="f" coordsize="21600,21600">
            <v:path/>
            <v:fill on="f" focussize="0,0"/>
            <v:stroke on="f" joinstyle="miter"/>
            <v:imagedata r:id="rId952" o:title=""/>
            <o:lock v:ext="edit" aspectratio="t"/>
            <w10:wrap type="none"/>
            <w10:anchorlock/>
          </v:shape>
          <o:OLEObject Type="Embed" ProgID="Equation.3" ShapeID="_x0000_i1519" DrawAspect="Content" ObjectID="_1468076219" r:id="rId951">
            <o:LockedField>false</o:LockedField>
          </o:OLEObject>
        </w:object>
      </w:r>
    </w:p>
    <w:p>
      <w:bookmarkStart w:id="146" w:name="OLE_LINK75"/>
      <w:bookmarkStart w:id="147" w:name="OLE_LINK74"/>
      <w:bookmarkStart w:id="148" w:name="OLE_LINK73"/>
      <w:bookmarkStart w:id="149" w:name="OLE_LINK91"/>
      <w:r>
        <w:rPr>
          <w:rFonts w:hint="eastAsia"/>
        </w:rPr>
        <w:t>此处</w:t>
      </w:r>
    </w:p>
    <w:p>
      <w:pPr>
        <w:ind w:firstLine="420"/>
      </w:pPr>
      <w:r>
        <w:rPr>
          <w:position w:val="-12"/>
        </w:rPr>
        <w:object>
          <v:shape id="_x0000_i1520" o:spt="75" type="#_x0000_t75" style="height:18.9pt;width:48.5pt;" o:ole="t" filled="f" o:preferrelative="t" stroked="f" coordsize="21600,21600">
            <v:path/>
            <v:fill on="f" focussize="0,0"/>
            <v:stroke on="f" joinstyle="miter"/>
            <v:imagedata r:id="rId954" o:title=""/>
            <o:lock v:ext="edit" aspectratio="t"/>
            <w10:wrap type="none"/>
            <w10:anchorlock/>
          </v:shape>
          <o:OLEObject Type="Embed" ProgID="Equation.3" ShapeID="_x0000_i1520" DrawAspect="Content" ObjectID="_1468076220" r:id="rId953">
            <o:LockedField>false</o:LockedField>
          </o:OLEObject>
        </w:object>
      </w:r>
      <w:r>
        <w:rPr>
          <w:position w:val="-12"/>
        </w:rPr>
        <w:tab/>
      </w:r>
      <w:r>
        <w:rPr>
          <w:rFonts w:hint="eastAsia"/>
        </w:rPr>
        <w:t>使用基准货币</w:t>
      </w:r>
      <w:bookmarkStart w:id="150" w:name="OLE_LINK68"/>
      <w:r>
        <w:rPr>
          <w:rFonts w:hint="eastAsia"/>
        </w:rPr>
        <w:t>计价的在整个评价时期</w:t>
      </w:r>
      <w:bookmarkEnd w:id="150"/>
      <w:r>
        <w:rPr>
          <w:rFonts w:hint="eastAsia"/>
        </w:rPr>
        <w:t>的投资组合组成部分i的累积资产配置效应</w:t>
      </w:r>
    </w:p>
    <w:p>
      <w:pPr>
        <w:ind w:firstLine="420"/>
      </w:pPr>
      <w:bookmarkStart w:id="151" w:name="OLE_LINK71"/>
      <w:bookmarkStart w:id="152" w:name="OLE_LINK72"/>
      <w:r>
        <w:rPr>
          <w:position w:val="-12"/>
        </w:rPr>
        <w:object>
          <v:shape id="_x0000_i1521" o:spt="75" type="#_x0000_t75" style="height:18.9pt;width:47.5pt;" o:ole="t" filled="f" o:preferrelative="t" stroked="f" coordsize="21600,21600">
            <v:path/>
            <v:fill on="f" focussize="0,0"/>
            <v:stroke on="f" joinstyle="miter"/>
            <v:imagedata r:id="rId956" o:title=""/>
            <o:lock v:ext="edit" aspectratio="t"/>
            <w10:wrap type="none"/>
            <w10:anchorlock/>
          </v:shape>
          <o:OLEObject Type="Embed" ProgID="Equation.3" ShapeID="_x0000_i1521" DrawAspect="Content" ObjectID="_1468076221" r:id="rId955">
            <o:LockedField>false</o:LockedField>
          </o:OLEObject>
        </w:object>
      </w:r>
      <w:bookmarkEnd w:id="151"/>
      <w:bookmarkEnd w:id="152"/>
      <w:r>
        <w:rPr>
          <w:position w:val="-12"/>
        </w:rPr>
        <w:tab/>
      </w:r>
      <w:r>
        <w:rPr>
          <w:rFonts w:hint="eastAsia"/>
        </w:rPr>
        <w:t>使用基准货币计价的在整个评价时期的投资组合组成部分i的累积证券选择效应</w:t>
      </w:r>
    </w:p>
    <w:p>
      <w:pPr>
        <w:ind w:firstLine="420"/>
      </w:pPr>
      <w:r>
        <w:rPr>
          <w:position w:val="-12"/>
        </w:rPr>
        <w:object>
          <v:shape id="_x0000_i1522" o:spt="75" type="#_x0000_t75" style="height:18.9pt;width:44.95pt;" o:ole="t" filled="f" o:preferrelative="t" stroked="f" coordsize="21600,21600">
            <v:path/>
            <v:fill on="f" focussize="0,0"/>
            <v:stroke on="f" joinstyle="miter"/>
            <v:imagedata r:id="rId958" o:title=""/>
            <o:lock v:ext="edit" aspectratio="t"/>
            <w10:wrap type="none"/>
            <w10:anchorlock/>
          </v:shape>
          <o:OLEObject Type="Embed" ProgID="Equation.3" ShapeID="_x0000_i1522" DrawAspect="Content" ObjectID="_1468076222" r:id="rId957">
            <o:LockedField>false</o:LockedField>
          </o:OLEObject>
        </w:object>
      </w:r>
      <w:r>
        <w:rPr>
          <w:position w:val="-12"/>
        </w:rPr>
        <w:tab/>
      </w:r>
      <w:r>
        <w:rPr>
          <w:rFonts w:hint="eastAsia"/>
        </w:rPr>
        <w:t>使用基准货币计价的在整个评价时期的投资组合组成部分i的累积相互作用效应</w:t>
      </w:r>
    </w:p>
    <w:p>
      <w:pPr>
        <w:ind w:firstLine="420"/>
      </w:pPr>
    </w:p>
    <w:bookmarkEnd w:id="146"/>
    <w:bookmarkEnd w:id="147"/>
    <w:bookmarkEnd w:id="148"/>
    <w:bookmarkEnd w:id="149"/>
    <w:p>
      <w:pPr>
        <w:pStyle w:val="6"/>
      </w:pPr>
      <w:r>
        <w:rPr>
          <w:rFonts w:hint="eastAsia"/>
        </w:rPr>
        <w:t>多币种分解和利率差异</w:t>
      </w:r>
    </w:p>
    <w:p>
      <w:pPr>
        <w:pStyle w:val="6"/>
      </w:pPr>
      <w:bookmarkStart w:id="153" w:name="OLE_LINK77"/>
      <w:bookmarkStart w:id="154" w:name="OLE_LINK76"/>
      <w:r>
        <w:rPr>
          <w:rFonts w:hint="eastAsia"/>
        </w:rPr>
        <w:t>利用基准货币计价的增加值</w:t>
      </w:r>
    </w:p>
    <w:bookmarkEnd w:id="153"/>
    <w:bookmarkEnd w:id="154"/>
    <w:p>
      <w:pPr>
        <w:ind w:firstLine="2730" w:firstLineChars="1300"/>
      </w:pPr>
      <w:bookmarkStart w:id="155" w:name="OLE_LINK79"/>
      <w:bookmarkStart w:id="156" w:name="OLE_LINK78"/>
      <w:r>
        <w:rPr>
          <w:position w:val="-12"/>
        </w:rPr>
        <w:object>
          <v:shape id="_x0000_i1523" o:spt="75" type="#_x0000_t75" style="height:18.9pt;width:76.6pt;" o:ole="t" filled="f" o:preferrelative="t" stroked="f" coordsize="21600,21600">
            <v:path/>
            <v:fill on="f" focussize="0,0"/>
            <v:stroke on="f" joinstyle="miter"/>
            <v:imagedata r:id="rId960" o:title=""/>
            <o:lock v:ext="edit" aspectratio="t"/>
            <w10:wrap type="none"/>
            <w10:anchorlock/>
          </v:shape>
          <o:OLEObject Type="Embed" ProgID="Equation.3" ShapeID="_x0000_i1523" DrawAspect="Content" ObjectID="_1468076223" r:id="rId959">
            <o:LockedField>false</o:LockedField>
          </o:OLEObject>
        </w:object>
      </w:r>
      <w:bookmarkEnd w:id="155"/>
      <w:bookmarkEnd w:id="156"/>
    </w:p>
    <w:p>
      <w:bookmarkStart w:id="157" w:name="OLE_LINK80"/>
      <w:bookmarkStart w:id="158" w:name="OLE_LINK81"/>
      <w:r>
        <w:rPr>
          <w:rFonts w:hint="eastAsia"/>
        </w:rPr>
        <w:t>此处</w:t>
      </w:r>
    </w:p>
    <w:p>
      <w:pPr>
        <w:ind w:firstLine="420"/>
      </w:pPr>
      <w:bookmarkStart w:id="159" w:name="OLE_LINK87"/>
      <w:bookmarkStart w:id="160" w:name="OLE_LINK86"/>
      <w:r>
        <w:rPr>
          <w:position w:val="-12"/>
        </w:rPr>
        <w:object>
          <v:shape id="_x0000_i1524" o:spt="75" type="#_x0000_t75" style="height:18.9pt;width:16.35pt;" o:ole="t" filled="f" o:preferrelative="t" stroked="f" coordsize="21600,21600">
            <v:path/>
            <v:fill on="f" focussize="0,0"/>
            <v:stroke on="f" joinstyle="miter"/>
            <v:imagedata r:id="rId962" o:title=""/>
            <o:lock v:ext="edit" aspectratio="t"/>
            <w10:wrap type="none"/>
            <w10:anchorlock/>
          </v:shape>
          <o:OLEObject Type="Embed" ProgID="Equation.3" ShapeID="_x0000_i1524" DrawAspect="Content" ObjectID="_1468076224" r:id="rId961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使用基准货币计价的投资组合组成收益率</w:t>
      </w:r>
    </w:p>
    <w:p>
      <w:pPr>
        <w:ind w:firstLine="420"/>
      </w:pPr>
      <w:r>
        <w:rPr>
          <w:position w:val="-12"/>
        </w:rPr>
        <w:object>
          <v:shape id="_x0000_i1525" o:spt="75" type="#_x0000_t75" style="height:18.9pt;width:16.35pt;" o:ole="t" filled="f" o:preferrelative="t" stroked="f" coordsize="21600,21600">
            <v:path/>
            <v:fill on="f" focussize="0,0"/>
            <v:stroke on="f" joinstyle="miter"/>
            <v:imagedata r:id="rId964" o:title=""/>
            <o:lock v:ext="edit" aspectratio="t"/>
            <w10:wrap type="none"/>
            <w10:anchorlock/>
          </v:shape>
          <o:OLEObject Type="Embed" ProgID="Equation.3" ShapeID="_x0000_i1525" DrawAspect="Content" ObjectID="_1468076225" r:id="rId963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使用基准货币计价的基准收益率（连续复利）</w:t>
      </w:r>
    </w:p>
    <w:bookmarkEnd w:id="157"/>
    <w:bookmarkEnd w:id="158"/>
    <w:bookmarkEnd w:id="159"/>
    <w:bookmarkEnd w:id="160"/>
    <w:p/>
    <w:p>
      <w:pPr>
        <w:pStyle w:val="6"/>
      </w:pPr>
      <w:r>
        <w:rPr>
          <w:rFonts w:hint="eastAsia"/>
        </w:rPr>
        <w:t>基准货币调整后的市场回报率</w:t>
      </w:r>
    </w:p>
    <w:p>
      <w:pPr>
        <w:ind w:firstLine="2520" w:firstLineChars="1200"/>
      </w:pPr>
      <w:bookmarkStart w:id="161" w:name="OLE_LINK83"/>
      <w:bookmarkStart w:id="162" w:name="OLE_LINK82"/>
      <w:r>
        <w:rPr>
          <w:position w:val="-14"/>
        </w:rPr>
        <w:object>
          <v:shape id="_x0000_i1526" o:spt="75" type="#_x0000_t75" style="height:18.9pt;width:120.5pt;" o:ole="t" filled="f" o:preferrelative="t" stroked="f" coordsize="21600,21600">
            <v:path/>
            <v:fill on="f" focussize="0,0"/>
            <v:stroke on="f" joinstyle="miter"/>
            <v:imagedata r:id="rId966" o:title=""/>
            <o:lock v:ext="edit" aspectratio="t"/>
            <w10:wrap type="none"/>
            <w10:anchorlock/>
          </v:shape>
          <o:OLEObject Type="Embed" ProgID="Equation.3" ShapeID="_x0000_i1526" DrawAspect="Content" ObjectID="_1468076226" r:id="rId965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20"/>
      </w:pPr>
      <w:r>
        <w:rPr>
          <w:position w:val="-12"/>
        </w:rPr>
        <w:object>
          <v:shape id="_x0000_i1527" o:spt="75" type="#_x0000_t75" style="height:18.9pt;width:16.35pt;" o:ole="t" filled="f" o:preferrelative="t" stroked="f" coordsize="21600,21600">
            <v:path/>
            <v:fill on="f" focussize="0,0"/>
            <v:stroke on="f" joinstyle="miter"/>
            <v:imagedata r:id="rId968" o:title=""/>
            <o:lock v:ext="edit" aspectratio="t"/>
            <w10:wrap type="none"/>
            <w10:anchorlock/>
          </v:shape>
          <o:OLEObject Type="Embed" ProgID="Equation.3" ShapeID="_x0000_i1527" DrawAspect="Content" ObjectID="_1468076227" r:id="rId967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使用本国货币计价的本国市场回报率</w:t>
      </w:r>
    </w:p>
    <w:p>
      <w:pPr>
        <w:ind w:firstLine="420"/>
      </w:pPr>
      <w:r>
        <w:rPr>
          <w:position w:val="-14"/>
        </w:rPr>
        <w:object>
          <v:shape id="_x0000_i1528" o:spt="75" type="#_x0000_t75" style="height:18.9pt;width:26.05pt;" o:ole="t" filled="f" o:preferrelative="t" stroked="f" coordsize="21600,21600">
            <v:path/>
            <v:fill on="f" focussize="0,0"/>
            <v:stroke on="f" joinstyle="miter"/>
            <v:imagedata r:id="rId970" o:title=""/>
            <o:lock v:ext="edit" aspectratio="t"/>
            <w10:wrap type="none"/>
            <w10:anchorlock/>
          </v:shape>
          <o:OLEObject Type="Embed" ProgID="Equation.3" ShapeID="_x0000_i1528" DrawAspect="Content" ObjectID="_1468076228" r:id="rId969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期初使用基准货币计价的无风险回报率</w:t>
      </w:r>
    </w:p>
    <w:p>
      <w:pPr>
        <w:ind w:firstLine="420"/>
      </w:pPr>
      <w:r>
        <w:rPr>
          <w:position w:val="-14"/>
        </w:rPr>
        <w:object>
          <v:shape id="_x0000_i1529" o:spt="75" type="#_x0000_t75" style="height:18.9pt;width:24pt;" o:ole="t" filled="f" o:preferrelative="t" stroked="f" coordsize="21600,21600">
            <v:path/>
            <v:fill on="f" focussize="0,0"/>
            <v:stroke on="f" joinstyle="miter"/>
            <v:imagedata r:id="rId972" o:title=""/>
            <o:lock v:ext="edit" aspectratio="t"/>
            <w10:wrap type="none"/>
            <w10:anchorlock/>
          </v:shape>
          <o:OLEObject Type="Embed" ProgID="Equation.3" ShapeID="_x0000_i1529" DrawAspect="Content" ObjectID="_1468076229" r:id="rId971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期初使用本国货币计价的无风险回报率</w:t>
      </w:r>
    </w:p>
    <w:p/>
    <w:bookmarkEnd w:id="161"/>
    <w:bookmarkEnd w:id="162"/>
    <w:p>
      <w:pPr>
        <w:pStyle w:val="6"/>
      </w:pPr>
      <w:bookmarkStart w:id="163" w:name="OLE_LINK85"/>
      <w:bookmarkStart w:id="164" w:name="OLE_LINK84"/>
      <w:r>
        <w:rPr>
          <w:rFonts w:hint="eastAsia"/>
        </w:rPr>
        <w:t>非预期货币回报率</w:t>
      </w:r>
    </w:p>
    <w:bookmarkEnd w:id="163"/>
    <w:bookmarkEnd w:id="164"/>
    <w:p>
      <w:pPr>
        <w:ind w:firstLine="2520" w:firstLineChars="1200"/>
      </w:pPr>
      <w:r>
        <w:rPr>
          <w:position w:val="-14"/>
        </w:rPr>
        <w:object>
          <v:shape id="_x0000_i1530" o:spt="75" type="#_x0000_t75" style="height:18.9pt;width:135.85pt;" o:ole="t" filled="f" o:preferrelative="t" stroked="f" coordsize="21600,21600">
            <v:path/>
            <v:fill on="f" focussize="0,0"/>
            <v:stroke on="f" joinstyle="miter"/>
            <v:imagedata r:id="rId974" o:title=""/>
            <o:lock v:ext="edit" aspectratio="t"/>
            <w10:wrap type="none"/>
            <w10:anchorlock/>
          </v:shape>
          <o:OLEObject Type="Embed" ProgID="Equation.3" ShapeID="_x0000_i1530" DrawAspect="Content" ObjectID="_1468076230" r:id="rId973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20"/>
      </w:pPr>
      <w:bookmarkStart w:id="165" w:name="OLE_LINK88"/>
      <w:bookmarkStart w:id="166" w:name="OLE_LINK89"/>
      <w:r>
        <w:rPr>
          <w:position w:val="-12"/>
        </w:rPr>
        <w:object>
          <v:shape id="_x0000_i1531" o:spt="75" type="#_x0000_t75" style="height:18.9pt;width:31.65pt;" o:ole="t" filled="f" o:preferrelative="t" stroked="f" coordsize="21600,21600">
            <v:path/>
            <v:fill on="f" focussize="0,0"/>
            <v:stroke on="f" joinstyle="miter"/>
            <v:imagedata r:id="rId976" o:title=""/>
            <o:lock v:ext="edit" aspectratio="t"/>
            <w10:wrap type="none"/>
            <w10:anchorlock/>
          </v:shape>
          <o:OLEObject Type="Embed" ProgID="Equation.3" ShapeID="_x0000_i1531" DrawAspect="Content" ObjectID="_1468076231" r:id="rId975">
            <o:LockedField>false</o:LockedField>
          </o:OLEObject>
        </w:object>
      </w:r>
      <w:r>
        <w:rPr>
          <w:position w:val="-12"/>
        </w:rPr>
        <w:tab/>
      </w:r>
      <w:r>
        <w:rPr>
          <w:rFonts w:hint="eastAsia"/>
        </w:rPr>
        <w:t>实际的货币回报率</w:t>
      </w:r>
    </w:p>
    <w:p>
      <w:pPr>
        <w:ind w:firstLine="420"/>
      </w:pPr>
      <w:r>
        <w:rPr>
          <w:position w:val="-14"/>
        </w:rPr>
        <w:object>
          <v:shape id="_x0000_i1532" o:spt="75" type="#_x0000_t75" style="height:18.9pt;width:26.05pt;" o:ole="t" filled="f" o:preferrelative="t" stroked="f" coordsize="21600,21600">
            <v:path/>
            <v:fill on="f" focussize="0,0"/>
            <v:stroke on="f" joinstyle="miter"/>
            <v:imagedata r:id="rId970" o:title=""/>
            <o:lock v:ext="edit" aspectratio="t"/>
            <w10:wrap type="none"/>
            <w10:anchorlock/>
          </v:shape>
          <o:OLEObject Type="Embed" ProgID="Equation.3" ShapeID="_x0000_i1532" DrawAspect="Content" ObjectID="_1468076232" r:id="rId977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期初使用基准货币计价的无风险回报率</w:t>
      </w:r>
    </w:p>
    <w:p>
      <w:pPr>
        <w:ind w:firstLine="420"/>
      </w:pPr>
      <w:r>
        <w:rPr>
          <w:position w:val="-14"/>
        </w:rPr>
        <w:object>
          <v:shape id="_x0000_i1533" o:spt="75" type="#_x0000_t75" style="height:18.9pt;width:24pt;" o:ole="t" filled="f" o:preferrelative="t" stroked="f" coordsize="21600,21600">
            <v:path/>
            <v:fill on="f" focussize="0,0"/>
            <v:stroke on="f" joinstyle="miter"/>
            <v:imagedata r:id="rId972" o:title=""/>
            <o:lock v:ext="edit" aspectratio="t"/>
            <w10:wrap type="none"/>
            <w10:anchorlock/>
          </v:shape>
          <o:OLEObject Type="Embed" ProgID="Equation.3" ShapeID="_x0000_i1533" DrawAspect="Content" ObjectID="_1468076233" r:id="rId978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期初使用本国货币计价的无风险回报率</w:t>
      </w:r>
    </w:p>
    <w:bookmarkEnd w:id="165"/>
    <w:bookmarkEnd w:id="166"/>
    <w:p/>
    <w:p>
      <w:pPr>
        <w:pStyle w:val="6"/>
      </w:pPr>
      <w:r>
        <w:rPr>
          <w:rFonts w:hint="eastAsia"/>
        </w:rPr>
        <w:t>使用基准货币计价的增加值分解</w:t>
      </w:r>
    </w:p>
    <w:p>
      <w:pPr>
        <w:ind w:firstLine="1470" w:firstLineChars="700"/>
      </w:pPr>
      <w:r>
        <w:rPr>
          <w:rFonts w:hint="eastAsia"/>
        </w:rPr>
        <w:t>va</w:t>
      </w:r>
      <w:r>
        <w:rPr>
          <w:rFonts w:hint="eastAsia"/>
          <w:vertAlign w:val="subscript"/>
        </w:rPr>
        <w:t>BC</w:t>
      </w:r>
      <w:r>
        <w:rPr>
          <w:rFonts w:hint="eastAsia"/>
        </w:rPr>
        <w:t>=</w:t>
      </w:r>
      <w:r>
        <w:rPr>
          <w:rFonts w:hint="eastAsia"/>
          <w:position w:val="-14"/>
        </w:rPr>
        <w:object>
          <v:shape id="_x0000_i1534" o:spt="75" type="#_x0000_t75" style="height:20.45pt;width:264.5pt;" o:ole="t" filled="f" o:preferrelative="t" stroked="f" coordsize="21600,21600">
            <v:path/>
            <v:fill on="f" focussize="0,0"/>
            <v:stroke on="f" joinstyle="miter"/>
            <v:imagedata r:id="rId980" o:title=""/>
            <o:lock v:ext="edit" aspectratio="t"/>
            <w10:wrap type="none"/>
            <w10:anchorlock/>
          </v:shape>
          <o:OLEObject Type="Embed" ProgID="Equation.3" ShapeID="_x0000_i1534" DrawAspect="Content" ObjectID="_1468076234" r:id="rId979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20"/>
      </w:pPr>
      <w:r>
        <w:rPr>
          <w:position w:val="-12"/>
        </w:rPr>
        <w:object>
          <v:shape id="_x0000_i1535" o:spt="75" type="#_x0000_t75" style="height:18.9pt;width:26.05pt;" o:ole="t" filled="f" o:preferrelative="t" stroked="f" coordsize="21600,21600">
            <v:path/>
            <v:fill on="f" focussize="0,0"/>
            <v:stroke on="f" joinstyle="miter"/>
            <v:imagedata r:id="rId982" o:title=""/>
            <o:lock v:ext="edit" aspectratio="t"/>
            <w10:wrap type="none"/>
            <w10:anchorlock/>
          </v:shape>
          <o:OLEObject Type="Embed" ProgID="Equation.3" ShapeID="_x0000_i1535" DrawAspect="Content" ObjectID="_1468076235" r:id="rId981">
            <o:LockedField>false</o:LockedField>
          </o:OLEObject>
        </w:object>
      </w:r>
      <w:r>
        <w:rPr>
          <w:position w:val="-12"/>
        </w:rPr>
        <w:tab/>
      </w:r>
      <w:r>
        <w:rPr>
          <w:rFonts w:hint="eastAsia"/>
        </w:rPr>
        <w:t>使用基准货币计价的增加值</w:t>
      </w:r>
    </w:p>
    <w:p>
      <w:pPr>
        <w:ind w:firstLine="420"/>
      </w:pPr>
      <w:r>
        <w:rPr>
          <w:position w:val="-14"/>
        </w:rPr>
        <w:object>
          <v:shape id="_x0000_i1536" o:spt="75" type="#_x0000_t75" style="height:19.4pt;width:24pt;" o:ole="t" filled="f" o:preferrelative="t" stroked="f" coordsize="21600,21600">
            <v:path/>
            <v:fill on="f" focussize="0,0"/>
            <v:stroke on="f" joinstyle="miter"/>
            <v:imagedata r:id="rId984" o:title=""/>
            <o:lock v:ext="edit" aspectratio="t"/>
            <w10:wrap type="none"/>
            <w10:anchorlock/>
          </v:shape>
          <o:OLEObject Type="Embed" ProgID="Equation.3" ShapeID="_x0000_i1536" DrawAspect="Content" ObjectID="_1468076236" r:id="rId983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投资组合和基准组合中每个市场的加总</w:t>
      </w:r>
    </w:p>
    <w:p>
      <w:pPr>
        <w:ind w:firstLine="420"/>
      </w:pPr>
      <w:r>
        <w:rPr>
          <w:position w:val="-14"/>
        </w:rPr>
        <w:object>
          <v:shape id="_x0000_i1537" o:spt="75" type="#_x0000_t75" style="height:18.9pt;width:15.85pt;" o:ole="t" filled="f" o:preferrelative="t" stroked="f" coordsize="21600,21600">
            <v:path/>
            <v:fill on="f" focussize="0,0"/>
            <v:stroke on="f" joinstyle="miter"/>
            <v:imagedata r:id="rId986" o:title=""/>
            <o:lock v:ext="edit" aspectratio="t"/>
            <w10:wrap type="none"/>
            <w10:anchorlock/>
          </v:shape>
          <o:OLEObject Type="Embed" ProgID="Equation.3" ShapeID="_x0000_i1537" DrawAspect="Content" ObjectID="_1468076237" r:id="rId985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期初每个市场的投资组合权重</w:t>
      </w:r>
    </w:p>
    <w:p>
      <w:pPr>
        <w:ind w:firstLine="420"/>
      </w:pPr>
      <w:r>
        <w:rPr>
          <w:position w:val="-14"/>
        </w:rPr>
        <w:object>
          <v:shape id="_x0000_i1538" o:spt="75" type="#_x0000_t75" style="height:18.9pt;width:36.75pt;" o:ole="t" filled="f" o:preferrelative="t" stroked="f" coordsize="21600,21600">
            <v:path/>
            <v:fill on="f" focussize="0,0"/>
            <v:stroke on="f" joinstyle="miter"/>
            <v:imagedata r:id="rId988" o:title=""/>
            <o:lock v:ext="edit" aspectratio="t"/>
            <w10:wrap type="none"/>
            <w10:anchorlock/>
          </v:shape>
          <o:OLEObject Type="Embed" ProgID="Equation.3" ShapeID="_x0000_i1538" DrawAspect="Content" ObjectID="_1468076238" r:id="rId987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使用基准货币计价的本国市场经调整的投资组合收益率</w:t>
      </w:r>
    </w:p>
    <w:p>
      <w:pPr>
        <w:ind w:firstLine="420"/>
      </w:pPr>
      <w:r>
        <w:rPr>
          <w:position w:val="-14"/>
        </w:rPr>
        <w:object>
          <v:shape id="_x0000_i1539" o:spt="75" type="#_x0000_t75" style="height:18.9pt;width:36.25pt;" o:ole="t" filled="f" o:preferrelative="t" stroked="f" coordsize="21600,21600">
            <v:path/>
            <v:fill on="f" focussize="0,0"/>
            <v:stroke on="f" joinstyle="miter"/>
            <v:imagedata r:id="rId990" o:title=""/>
            <o:lock v:ext="edit" aspectratio="t"/>
            <w10:wrap type="none"/>
            <w10:anchorlock/>
          </v:shape>
          <o:OLEObject Type="Embed" ProgID="Equation.3" ShapeID="_x0000_i1539" DrawAspect="Content" ObjectID="_1468076239" r:id="rId989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使用基准货币计价的本国市场经调整的指数收益率</w:t>
      </w:r>
    </w:p>
    <w:p>
      <w:pPr>
        <w:ind w:firstLine="420"/>
      </w:pPr>
      <w:r>
        <w:rPr>
          <w:position w:val="-10"/>
        </w:rPr>
        <w:object>
          <v:shape id="_x0000_i1540" o:spt="75" type="#_x0000_t75" style="height:16.35pt;width:14.3pt;" o:ole="t" filled="f" o:preferrelative="t" stroked="f" coordsize="21600,21600">
            <v:path/>
            <v:fill on="f" focussize="0,0"/>
            <v:stroke on="f" joinstyle="miter"/>
            <v:imagedata r:id="rId992" o:title=""/>
            <o:lock v:ext="edit" aspectratio="t"/>
            <w10:wrap type="none"/>
            <w10:anchorlock/>
          </v:shape>
          <o:OLEObject Type="Embed" ProgID="Equation.3" ShapeID="_x0000_i1540" DrawAspect="Content" ObjectID="_1468076240" r:id="rId991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非预期的投资组合货币回报率</w:t>
      </w:r>
    </w:p>
    <w:p>
      <w:pPr>
        <w:ind w:firstLine="420"/>
      </w:pPr>
      <w:r>
        <w:rPr>
          <w:position w:val="-10"/>
        </w:rPr>
        <w:object>
          <v:shape id="_x0000_i1541" o:spt="75" type="#_x0000_t75" style="height:16.35pt;width:16.35pt;" o:ole="t" filled="f" o:preferrelative="t" stroked="f" coordsize="21600,21600">
            <v:path/>
            <v:fill on="f" focussize="0,0"/>
            <v:stroke on="f" joinstyle="miter"/>
            <v:imagedata r:id="rId994" o:title=""/>
            <o:lock v:ext="edit" aspectratio="t"/>
            <w10:wrap type="none"/>
            <w10:anchorlock/>
          </v:shape>
          <o:OLEObject Type="Embed" ProgID="Equation.3" ShapeID="_x0000_i1541" DrawAspect="Content" ObjectID="_1468076241" r:id="rId993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期初每个市场的指数权重</w:t>
      </w:r>
    </w:p>
    <w:p>
      <w:pPr>
        <w:ind w:firstLine="420"/>
      </w:pPr>
      <w:r>
        <w:rPr>
          <w:position w:val="-10"/>
        </w:rPr>
        <w:object>
          <v:shape id="_x0000_i1542" o:spt="75" type="#_x0000_t75" style="height:16.35pt;width:12.75pt;" o:ole="t" filled="f" o:preferrelative="t" stroked="f" coordsize="21600,21600">
            <v:path/>
            <v:fill on="f" focussize="0,0"/>
            <v:stroke on="f" joinstyle="miter"/>
            <v:imagedata r:id="rId996" o:title=""/>
            <o:lock v:ext="edit" aspectratio="t"/>
            <w10:wrap type="none"/>
            <w10:anchorlock/>
          </v:shape>
          <o:OLEObject Type="Embed" ProgID="Equation.3" ShapeID="_x0000_i1542" DrawAspect="Content" ObjectID="_1468076242" r:id="rId995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非预期的被动货币回报率</w:t>
      </w:r>
    </w:p>
    <w:p>
      <w:pPr>
        <w:ind w:firstLine="420"/>
      </w:pPr>
    </w:p>
    <w:p>
      <w:pPr>
        <w:pStyle w:val="6"/>
      </w:pPr>
      <w:r>
        <w:rPr>
          <w:rFonts w:hint="eastAsia"/>
        </w:rPr>
        <w:t>多币种收益率BHB和BF分解法</w:t>
      </w:r>
    </w:p>
    <w:p>
      <w:pPr>
        <w:jc w:val="left"/>
      </w:pPr>
      <w:r>
        <w:rPr>
          <w:position w:val="-28"/>
        </w:rPr>
        <w:object>
          <v:shape id="_x0000_i1543" o:spt="75" type="#_x0000_t75" style="height:33.7pt;width:383.5pt;" o:ole="t" filled="f" o:preferrelative="t" stroked="f" coordsize="21600,21600">
            <v:path/>
            <v:fill on="f" focussize="0,0"/>
            <v:stroke on="f" joinstyle="miter"/>
            <v:imagedata r:id="rId998" o:title=""/>
            <o:lock v:ext="edit" aspectratio="t"/>
            <w10:wrap type="none"/>
            <w10:anchorlock/>
          </v:shape>
          <o:OLEObject Type="Embed" ProgID="Equation.3" ShapeID="_x0000_i1543" DrawAspect="Content" ObjectID="_1468076243" r:id="rId997">
            <o:LockedField>false</o:LockedField>
          </o:OLEObject>
        </w:object>
      </w:r>
    </w:p>
    <w:p>
      <w:pPr>
        <w:jc w:val="left"/>
      </w:pPr>
      <w:r>
        <w:rPr>
          <w:rFonts w:hint="eastAsia"/>
          <w:position w:val="-14"/>
        </w:rPr>
        <w:object>
          <v:shape id="_x0000_i1544" o:spt="75" type="#_x0000_t75" style="height:20.45pt;width:146.05pt;" o:ole="t" filled="f" o:preferrelative="t" stroked="f" coordsize="21600,21600">
            <v:path/>
            <v:fill on="f" focussize="0,0"/>
            <v:stroke on="f" joinstyle="miter"/>
            <v:imagedata r:id="rId1000" o:title=""/>
            <o:lock v:ext="edit" aspectratio="t"/>
            <w10:wrap type="none"/>
            <w10:anchorlock/>
          </v:shape>
          <o:OLEObject Type="Embed" ProgID="Equation.3" ShapeID="_x0000_i1544" DrawAspect="Content" ObjectID="_1468076244" r:id="rId999">
            <o:LockedField>false</o:LockedField>
          </o:OLEObject>
        </w:object>
      </w:r>
    </w:p>
    <w:p>
      <w:pPr>
        <w:jc w:val="left"/>
      </w:pPr>
      <w:r>
        <w:rPr>
          <w:rFonts w:hint="eastAsia"/>
          <w:position w:val="-14"/>
        </w:rPr>
        <w:object>
          <v:shape id="_x0000_i1545" o:spt="75" type="#_x0000_t75" style="height:20.45pt;width:146.05pt;" o:ole="t" filled="f" o:preferrelative="t" stroked="f" coordsize="21600,21600">
            <v:path/>
            <v:fill on="f" focussize="0,0"/>
            <v:stroke on="f" joinstyle="miter"/>
            <v:imagedata r:id="rId1002" o:title=""/>
            <o:lock v:ext="edit" aspectratio="t"/>
            <w10:wrap type="none"/>
            <w10:anchorlock/>
          </v:shape>
          <o:OLEObject Type="Embed" ProgID="Equation.3" ShapeID="_x0000_i1545" DrawAspect="Content" ObjectID="_1468076245" r:id="rId1001">
            <o:LockedField>false</o:LockedField>
          </o:OLEObject>
        </w:object>
      </w:r>
    </w:p>
    <w:p>
      <w:pPr>
        <w:jc w:val="left"/>
      </w:pPr>
      <w:r>
        <w:rPr>
          <w:rFonts w:hint="eastAsia"/>
          <w:position w:val="-14"/>
        </w:rPr>
        <w:object>
          <v:shape id="_x0000_i1546" o:spt="75" type="#_x0000_t75" style="height:20.45pt;width:189.95pt;" o:ole="t" filled="f" o:preferrelative="t" stroked="f" coordsize="21600,21600">
            <v:path/>
            <v:fill on="f" focussize="0,0"/>
            <v:stroke on="f" joinstyle="miter"/>
            <v:imagedata r:id="rId1004" o:title=""/>
            <o:lock v:ext="edit" aspectratio="t"/>
            <w10:wrap type="none"/>
            <w10:anchorlock/>
          </v:shape>
          <o:OLEObject Type="Embed" ProgID="Equation.3" ShapeID="_x0000_i1546" DrawAspect="Content" ObjectID="_1468076246" r:id="rId1003">
            <o:LockedField>false</o:LockedField>
          </o:OLEObject>
        </w:object>
      </w:r>
    </w:p>
    <w:p>
      <w:pPr>
        <w:jc w:val="left"/>
      </w:pPr>
      <w:r>
        <w:rPr>
          <w:rFonts w:hint="eastAsia"/>
          <w:position w:val="-14"/>
        </w:rPr>
        <w:object>
          <v:shape id="_x0000_i1547" o:spt="75" type="#_x0000_t75" style="height:20.45pt;width:251.25pt;" o:ole="t" filled="f" o:preferrelative="t" stroked="f" coordsize="21600,21600">
            <v:path/>
            <v:fill on="f" focussize="0,0"/>
            <v:stroke on="f" joinstyle="miter"/>
            <v:imagedata r:id="rId1006" o:title=""/>
            <o:lock v:ext="edit" aspectratio="t"/>
            <w10:wrap type="none"/>
            <w10:anchorlock/>
          </v:shape>
          <o:OLEObject Type="Embed" ProgID="Equation.3" ShapeID="_x0000_i1547" DrawAspect="Content" ObjectID="_1468076247" r:id="rId1005">
            <o:LockedField>false</o:LockedField>
          </o:OLEObject>
        </w:object>
      </w:r>
    </w:p>
    <w:p>
      <w:pPr>
        <w:jc w:val="left"/>
      </w:pPr>
      <w:r>
        <w:rPr>
          <w:rFonts w:hint="eastAsia"/>
          <w:position w:val="-14"/>
        </w:rPr>
        <w:object>
          <v:shape id="_x0000_i1548" o:spt="75" type="#_x0000_t75" style="height:20.45pt;width:273.2pt;" o:ole="t" filled="f" o:preferrelative="t" stroked="f" coordsize="21600,21600">
            <v:path/>
            <v:fill on="f" focussize="0,0"/>
            <v:stroke on="f" joinstyle="miter"/>
            <v:imagedata r:id="rId1008" o:title=""/>
            <o:lock v:ext="edit" aspectratio="t"/>
            <w10:wrap type="none"/>
            <w10:anchorlock/>
          </v:shape>
          <o:OLEObject Type="Embed" ProgID="Equation.3" ShapeID="_x0000_i1548" DrawAspect="Content" ObjectID="_1468076248" r:id="rId1007">
            <o:LockedField>false</o:LockedField>
          </o:OLEObject>
        </w:object>
      </w:r>
    </w:p>
    <w:p>
      <w:pPr>
        <w:jc w:val="left"/>
      </w:pPr>
      <w:r>
        <w:rPr>
          <w:rFonts w:hint="eastAsia"/>
          <w:position w:val="-14"/>
        </w:rPr>
        <w:object>
          <v:shape id="_x0000_i1549" o:spt="75" type="#_x0000_t75" style="height:20.45pt;width:354.9pt;" o:ole="t" filled="f" o:preferrelative="t" stroked="f" coordsize="21600,21600">
            <v:path/>
            <v:fill on="f" focussize="0,0"/>
            <v:stroke on="f" joinstyle="miter"/>
            <v:imagedata r:id="rId1010" o:title=""/>
            <o:lock v:ext="edit" aspectratio="t"/>
            <w10:wrap type="none"/>
            <w10:anchorlock/>
          </v:shape>
          <o:OLEObject Type="Embed" ProgID="Equation.3" ShapeID="_x0000_i1549" DrawAspect="Content" ObjectID="_1468076249" r:id="rId1009">
            <o:LockedField>false</o:LockedField>
          </o:OLEObject>
        </w:object>
      </w:r>
    </w:p>
    <w:p>
      <w:bookmarkStart w:id="167" w:name="OLE_LINK110"/>
      <w:r>
        <w:rPr>
          <w:rFonts w:hint="eastAsia"/>
        </w:rPr>
        <w:t>此处</w:t>
      </w:r>
    </w:p>
    <w:p>
      <w:pPr>
        <w:ind w:firstLine="420"/>
      </w:pPr>
      <w:bookmarkStart w:id="168" w:name="OLE_LINK100"/>
      <w:bookmarkStart w:id="169" w:name="OLE_LINK99"/>
      <w:r>
        <w:rPr>
          <w:position w:val="-14"/>
        </w:rPr>
        <w:object>
          <v:shape id="_x0000_i1550" o:spt="75" type="#_x0000_t75" style="height:19.4pt;width:38.8pt;" o:ole="t" filled="f" o:preferrelative="t" stroked="f" coordsize="21600,21600">
            <v:path/>
            <v:fill on="f" focussize="0,0"/>
            <v:stroke on="f" joinstyle="miter"/>
            <v:imagedata r:id="rId1012" o:title=""/>
            <o:lock v:ext="edit" aspectratio="t"/>
            <w10:wrap type="none"/>
            <w10:anchorlock/>
          </v:shape>
          <o:OLEObject Type="Embed" ProgID="Equation.3" ShapeID="_x0000_i1550" DrawAspect="Content" ObjectID="_1468076250" r:id="rId1011">
            <o:LockedField>false</o:LockedField>
          </o:OLEObject>
        </w:object>
      </w:r>
      <w:bookmarkEnd w:id="168"/>
      <w:bookmarkEnd w:id="169"/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对冲为基准货币在t期的投资组合组成部分i的资产配置效应</w:t>
      </w:r>
    </w:p>
    <w:p>
      <w:pPr>
        <w:ind w:firstLine="420"/>
      </w:pPr>
      <w:r>
        <w:rPr>
          <w:position w:val="-14"/>
        </w:rPr>
        <w:object>
          <v:shape id="_x0000_i1551" o:spt="75" type="#_x0000_t75" style="height:19.4pt;width:36.25pt;" o:ole="t" filled="f" o:preferrelative="t" stroked="f" coordsize="21600,21600">
            <v:path/>
            <v:fill on="f" focussize="0,0"/>
            <v:stroke on="f" joinstyle="miter"/>
            <v:imagedata r:id="rId1014" o:title=""/>
            <o:lock v:ext="edit" aspectratio="t"/>
            <w10:wrap type="none"/>
            <w10:anchorlock/>
          </v:shape>
          <o:OLEObject Type="Embed" ProgID="Equation.3" ShapeID="_x0000_i1551" DrawAspect="Content" ObjectID="_1468076251" r:id="rId1013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对冲为基准货币在t期的投资组合组成部分i的证券选择效应</w:t>
      </w:r>
    </w:p>
    <w:p>
      <w:pPr>
        <w:ind w:firstLine="420"/>
      </w:pPr>
      <w:r>
        <w:rPr>
          <w:position w:val="-14"/>
        </w:rPr>
        <w:object>
          <v:shape id="_x0000_i1552" o:spt="75" type="#_x0000_t75" style="height:19.4pt;width:36.25pt;" o:ole="t" filled="f" o:preferrelative="t" stroked="f" coordsize="21600,21600">
            <v:path/>
            <v:fill on="f" focussize="0,0"/>
            <v:stroke on="f" joinstyle="miter"/>
            <v:imagedata r:id="rId1016" o:title=""/>
            <o:lock v:ext="edit" aspectratio="t"/>
            <w10:wrap type="none"/>
            <w10:anchorlock/>
          </v:shape>
          <o:OLEObject Type="Embed" ProgID="Equation.3" ShapeID="_x0000_i1552" DrawAspect="Content" ObjectID="_1468076252" r:id="rId1015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对冲为基准货币在t期的投资组合组成部分i的相互作用效应</w:t>
      </w:r>
    </w:p>
    <w:p>
      <w:pPr>
        <w:ind w:firstLine="420"/>
      </w:pPr>
      <w:r>
        <w:rPr>
          <w:position w:val="-14"/>
        </w:rPr>
        <w:object>
          <v:shape id="_x0000_i1553" o:spt="75" type="#_x0000_t75" style="height:19.4pt;width:36.75pt;" o:ole="t" filled="f" o:preferrelative="t" stroked="f" coordsize="21600,21600">
            <v:path/>
            <v:fill on="f" focussize="0,0"/>
            <v:stroke on="f" joinstyle="miter"/>
            <v:imagedata r:id="rId1018" o:title=""/>
            <o:lock v:ext="edit" aspectratio="t"/>
            <w10:wrap type="none"/>
            <w10:anchorlock/>
          </v:shape>
          <o:OLEObject Type="Embed" ProgID="Equation.3" ShapeID="_x0000_i1553" DrawAspect="Content" ObjectID="_1468076253" r:id="rId1017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使用基准货币计价在t期的投资组合的货币i的货币资产配置效应</w:t>
      </w:r>
    </w:p>
    <w:p>
      <w:pPr>
        <w:ind w:firstLine="420"/>
      </w:pPr>
      <w:r>
        <w:rPr>
          <w:position w:val="-14"/>
        </w:rPr>
        <w:object>
          <v:shape id="_x0000_i1554" o:spt="75" type="#_x0000_t75" style="height:19.4pt;width:44.95pt;" o:ole="t" filled="f" o:preferrelative="t" stroked="f" coordsize="21600,21600">
            <v:path/>
            <v:fill on="f" focussize="0,0"/>
            <v:stroke on="f" joinstyle="miter"/>
            <v:imagedata r:id="rId1020" o:title=""/>
            <o:lock v:ext="edit" aspectratio="t"/>
            <w10:wrap type="none"/>
            <w10:anchorlock/>
          </v:shape>
          <o:OLEObject Type="Embed" ProgID="Equation.3" ShapeID="_x0000_i1554" DrawAspect="Content" ObjectID="_1468076254" r:id="rId1019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使用基准货币计价在t期投资组合的货币i的货币和对冲选择效应</w:t>
      </w:r>
    </w:p>
    <w:p>
      <w:pPr>
        <w:ind w:firstLine="420"/>
      </w:pPr>
      <w:r>
        <w:rPr>
          <w:position w:val="-14"/>
        </w:rPr>
        <w:object>
          <v:shape id="_x0000_i1555" o:spt="75" type="#_x0000_t75" style="height:19.4pt;width:41.35pt;" o:ole="t" filled="f" o:preferrelative="t" stroked="f" coordsize="21600,21600">
            <v:path/>
            <v:fill on="f" focussize="0,0"/>
            <v:stroke on="f" joinstyle="miter"/>
            <v:imagedata r:id="rId1022" o:title=""/>
            <o:lock v:ext="edit" aspectratio="t"/>
            <w10:wrap type="none"/>
            <w10:anchorlock/>
          </v:shape>
          <o:OLEObject Type="Embed" ProgID="Equation.3" ShapeID="_x0000_i1555" DrawAspect="Content" ObjectID="_1468076255" r:id="rId1021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使用基准货币计价在t期投资组合的货币i的货币相互作用效应</w:t>
      </w:r>
    </w:p>
    <w:p>
      <w:pPr>
        <w:ind w:firstLine="420"/>
      </w:pPr>
    </w:p>
    <w:bookmarkEnd w:id="167"/>
    <w:p>
      <w:pPr>
        <w:pStyle w:val="6"/>
      </w:pPr>
      <w:bookmarkStart w:id="170" w:name="OLE_LINK95"/>
      <w:bookmarkStart w:id="171" w:name="OLE_LINK94"/>
      <w:r>
        <w:rPr>
          <w:rFonts w:hint="eastAsia"/>
        </w:rPr>
        <w:t>基于简单线性回归的分解方法</w:t>
      </w:r>
    </w:p>
    <w:bookmarkEnd w:id="170"/>
    <w:bookmarkEnd w:id="171"/>
    <w:p>
      <w:pPr>
        <w:pStyle w:val="6"/>
      </w:pPr>
      <w:r>
        <w:rPr>
          <w:rFonts w:hint="eastAsia"/>
        </w:rPr>
        <w:t>詹森的阿尔法</w:t>
      </w:r>
    </w:p>
    <w:p>
      <w:pPr>
        <w:jc w:val="center"/>
      </w:pPr>
      <w:r>
        <w:rPr>
          <w:position w:val="-48"/>
        </w:rPr>
        <w:object>
          <v:shape id="_x0000_i1556" o:spt="75" type="#_x0000_t75" style="height:36.75pt;width:207.85pt;" o:ole="t" filled="f" o:preferrelative="t" stroked="f" coordsize="21600,21600">
            <v:path/>
            <v:fill on="f" focussize="0,0"/>
            <v:stroke on="f" joinstyle="miter"/>
            <v:imagedata r:id="rId1024" o:title=""/>
            <o:lock v:ext="edit" aspectratio="t"/>
            <w10:wrap type="none"/>
            <w10:anchorlock/>
          </v:shape>
          <o:OLEObject Type="Embed" ProgID="Equation.DSMT4" ShapeID="_x0000_i1556" DrawAspect="Content" ObjectID="_1468076256" r:id="rId1023">
            <o:LockedField>false</o:LockedField>
          </o:OLEObject>
        </w:object>
      </w:r>
    </w:p>
    <w:p>
      <w:pPr>
        <w:jc w:val="center"/>
      </w:pPr>
      <w:r>
        <w:rPr>
          <w:position w:val="-46"/>
        </w:rPr>
        <w:object>
          <v:shape id="_x0000_i1557" o:spt="75" type="#_x0000_t75" style="height:51.05pt;width:132.25pt;" o:ole="t" filled="t" o:preferrelative="t" stroked="f" coordsize="21600,21600">
            <v:path/>
            <v:fill on="t" focussize="0,0"/>
            <v:stroke on="f" joinstyle="miter"/>
            <v:imagedata r:id="rId1026" o:title=""/>
            <o:lock v:ext="edit" aspectratio="t"/>
            <w10:wrap type="none"/>
            <w10:anchorlock/>
          </v:shape>
          <o:OLEObject Type="Embed" ProgID="Equation.3" ShapeID="_x0000_i1557" DrawAspect="Content" ObjectID="_1468076257" r:id="rId1025">
            <o:LockedField>false</o:LockedField>
          </o:OLEObject>
        </w:object>
      </w:r>
    </w:p>
    <w:p>
      <w:pPr>
        <w:jc w:val="left"/>
      </w:pPr>
      <w:r>
        <w:rPr>
          <w:rFonts w:hint="eastAsia"/>
        </w:rPr>
        <w:t>此处</w:t>
      </w:r>
    </w:p>
    <w:p>
      <w:pPr>
        <w:ind w:firstLine="420" w:firstLineChars="200"/>
        <w:jc w:val="left"/>
      </w:pPr>
      <w:r>
        <w:rPr>
          <w:position w:val="-12"/>
        </w:rPr>
        <w:object>
          <v:shape id="_x0000_i1558" o:spt="75" type="#_x0000_t75" style="height:18.9pt;width:16.35pt;" o:ole="t" filled="f" o:preferrelative="t" stroked="f" coordsize="21600,21600">
            <v:path/>
            <v:fill on="f" focussize="0,0"/>
            <v:stroke on="f" joinstyle="miter"/>
            <v:imagedata r:id="rId1028" o:title=""/>
            <o:lock v:ext="edit" aspectratio="t"/>
            <w10:wrap type="none"/>
            <w10:anchorlock/>
          </v:shape>
          <o:OLEObject Type="Embed" ProgID="Equation.DSMT4" ShapeID="_x0000_i1558" DrawAspect="Content" ObjectID="_1468076258" r:id="rId1027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詹森的阿尔法</w:t>
      </w:r>
    </w:p>
    <w:p>
      <w:pPr>
        <w:ind w:firstLine="420" w:firstLineChars="200"/>
        <w:jc w:val="left"/>
      </w:pPr>
      <w:r>
        <w:rPr>
          <w:position w:val="-12"/>
        </w:rPr>
        <w:object>
          <v:shape id="_x0000_i1559" o:spt="75" type="#_x0000_t75" style="height:18.9pt;width:16.35pt;" o:ole="t" filled="f" o:preferrelative="t" stroked="f" coordsize="21600,21600">
            <v:path/>
            <v:fill on="f" focussize="0,0"/>
            <v:stroke on="f" joinstyle="miter"/>
            <v:imagedata r:id="rId1030" o:title=""/>
            <o:lock v:ext="edit" aspectratio="t"/>
            <w10:wrap type="none"/>
            <w10:anchorlock/>
          </v:shape>
          <o:OLEObject Type="Embed" ProgID="Equation.DSMT4" ShapeID="_x0000_i1559" DrawAspect="Content" ObjectID="_1468076259" r:id="rId1029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实际投资组合收益率</w:t>
      </w:r>
    </w:p>
    <w:p>
      <w:pPr>
        <w:ind w:firstLine="420" w:firstLineChars="200"/>
        <w:jc w:val="left"/>
      </w:pPr>
      <w:r>
        <w:rPr>
          <w:position w:val="-12"/>
        </w:rPr>
        <w:object>
          <v:shape id="_x0000_i1560" o:spt="75" type="#_x0000_t75" style="height:18.9pt;width:16.35pt;" o:ole="t" filled="f" o:preferrelative="t" stroked="f" coordsize="21600,21600">
            <v:path/>
            <v:fill on="f" focussize="0,0"/>
            <v:stroke on="f" joinstyle="miter"/>
            <v:imagedata r:id="rId1032" o:title=""/>
            <o:lock v:ext="edit" aspectratio="t"/>
            <w10:wrap type="none"/>
            <w10:anchorlock/>
          </v:shape>
          <o:OLEObject Type="Embed" ProgID="Equation.DSMT4" ShapeID="_x0000_i1560" DrawAspect="Content" ObjectID="_1468076260" r:id="rId1031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β值为</w:t>
      </w:r>
      <w:r>
        <w:rPr>
          <w:position w:val="-12"/>
        </w:rPr>
        <w:object>
          <v:shape id="_x0000_i1561" o:spt="75" type="#_x0000_t75" style="height:18.9pt;width:16.35pt;" o:ole="t" filled="f" o:preferrelative="t" stroked="f" coordsize="21600,21600">
            <v:path/>
            <v:fill on="f" focussize="0,0"/>
            <v:stroke on="f" joinstyle="miter"/>
            <v:imagedata r:id="rId1034" o:title=""/>
            <o:lock v:ext="edit" aspectratio="t"/>
            <w10:wrap type="none"/>
            <w10:anchorlock/>
          </v:shape>
          <o:OLEObject Type="Embed" ProgID="Equation.DSMT4" ShapeID="_x0000_i1561" DrawAspect="Content" ObjectID="_1468076261" r:id="rId1033">
            <o:LockedField>false</o:LockedField>
          </o:OLEObject>
        </w:object>
      </w:r>
      <w:r>
        <w:rPr>
          <w:rFonts w:hint="eastAsia"/>
        </w:rPr>
        <w:t>的投资组合的均衡态收益率</w:t>
      </w:r>
    </w:p>
    <w:p>
      <w:pPr>
        <w:ind w:firstLine="420" w:firstLineChars="200"/>
        <w:jc w:val="left"/>
      </w:pPr>
      <w:r>
        <w:rPr>
          <w:position w:val="-12"/>
        </w:rPr>
        <w:object>
          <v:shape id="_x0000_i1562" o:spt="75" type="#_x0000_t75" style="height:18.9pt;width:16.35pt;" o:ole="t" filled="f" o:preferrelative="t" stroked="f" coordsize="21600,21600">
            <v:path/>
            <v:fill on="f" focussize="0,0"/>
            <v:stroke on="f" joinstyle="miter"/>
            <v:imagedata r:id="rId1036" o:title=""/>
            <o:lock v:ext="edit" aspectratio="t"/>
            <w10:wrap type="none"/>
            <w10:anchorlock/>
          </v:shape>
          <o:OLEObject Type="Embed" ProgID="Equation.DSMT4" ShapeID="_x0000_i1562" DrawAspect="Content" ObjectID="_1468076262" r:id="rId1035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波动率为</w:t>
      </w:r>
      <w:r>
        <w:rPr>
          <w:position w:val="-12"/>
        </w:rPr>
        <w:object>
          <v:shape id="_x0000_i1563" o:spt="75" type="#_x0000_t75" style="height:18.9pt;width:16.35pt;" o:ole="t" filled="f" o:preferrelative="t" stroked="f" coordsize="21600,21600">
            <v:path/>
            <v:fill on="f" focussize="0,0"/>
            <v:stroke on="f" joinstyle="miter"/>
            <v:imagedata r:id="rId1038" o:title=""/>
            <o:lock v:ext="edit" aspectratio="t"/>
            <w10:wrap type="none"/>
            <w10:anchorlock/>
          </v:shape>
          <o:OLEObject Type="Embed" ProgID="Equation.DSMT4" ShapeID="_x0000_i1563" DrawAspect="Content" ObjectID="_1468076263" r:id="rId1037">
            <o:LockedField>false</o:LockedField>
          </o:OLEObject>
        </w:object>
      </w:r>
      <w:r>
        <w:rPr>
          <w:rFonts w:hint="eastAsia"/>
        </w:rPr>
        <w:t>的投资组合的均衡收益率</w:t>
      </w:r>
    </w:p>
    <w:p>
      <w:pPr>
        <w:ind w:firstLine="420" w:firstLineChars="200"/>
        <w:jc w:val="left"/>
      </w:pPr>
      <w:r>
        <w:rPr>
          <w:position w:val="-14"/>
        </w:rPr>
        <w:object>
          <v:shape id="_x0000_i1564" o:spt="75" type="#_x0000_t75" style="height:18.9pt;width:16.35pt;" o:ole="t" filled="f" o:preferrelative="t" stroked="f" coordsize="21600,21600">
            <v:path/>
            <v:fill on="f" focussize="0,0"/>
            <v:stroke on="f" joinstyle="miter"/>
            <v:imagedata r:id="rId1040" o:title=""/>
            <o:lock v:ext="edit" aspectratio="t"/>
            <w10:wrap type="none"/>
            <w10:anchorlock/>
          </v:shape>
          <o:OLEObject Type="Embed" ProgID="Equation.DSMT4" ShapeID="_x0000_i1564" DrawAspect="Content" ObjectID="_1468076264" r:id="rId1039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无风险利率</w:t>
      </w:r>
    </w:p>
    <w:p>
      <w:pPr>
        <w:ind w:firstLine="420" w:firstLineChars="200"/>
        <w:jc w:val="left"/>
      </w:pPr>
      <w:bookmarkStart w:id="172" w:name="OLE_LINK97"/>
      <w:bookmarkStart w:id="173" w:name="OLE_LINK96"/>
      <w:r>
        <w:rPr>
          <w:position w:val="-12"/>
        </w:rPr>
        <w:object>
          <v:shape id="_x0000_i1565" o:spt="75" type="#_x0000_t75" style="height:18.9pt;width:16.35pt;" o:ole="t" filled="f" o:preferrelative="t" stroked="f" coordsize="21600,21600">
            <v:path/>
            <v:fill on="f" focussize="0,0"/>
            <v:stroke on="f" joinstyle="miter"/>
            <v:imagedata r:id="rId1042" o:title=""/>
            <o:lock v:ext="edit" aspectratio="t"/>
            <w10:wrap type="none"/>
            <w10:anchorlock/>
          </v:shape>
          <o:OLEObject Type="Embed" ProgID="Equation.DSMT4" ShapeID="_x0000_i1565" DrawAspect="Content" ObjectID="_1468076265" r:id="rId1041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投资组合的波动率</w:t>
      </w:r>
    </w:p>
    <w:bookmarkEnd w:id="172"/>
    <w:bookmarkEnd w:id="173"/>
    <w:p>
      <w:pPr>
        <w:ind w:firstLine="420" w:firstLineChars="200"/>
        <w:jc w:val="left"/>
      </w:pPr>
      <w:r>
        <w:rPr>
          <w:position w:val="-12"/>
        </w:rPr>
        <w:object>
          <v:shape id="_x0000_i1566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1044" o:title=""/>
            <o:lock v:ext="edit" aspectratio="t"/>
            <w10:wrap type="none"/>
            <w10:anchorlock/>
          </v:shape>
          <o:OLEObject Type="Embed" ProgID="Equation.DSMT4" ShapeID="_x0000_i1566" DrawAspect="Content" ObjectID="_1468076266" r:id="rId1043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市场波动率</w:t>
      </w:r>
    </w:p>
    <w:p>
      <w:pPr>
        <w:ind w:firstLine="420" w:firstLineChars="200"/>
        <w:jc w:val="left"/>
      </w:pPr>
      <w:r>
        <w:rPr>
          <w:position w:val="-12"/>
        </w:rPr>
        <w:object>
          <v:shape id="_x0000_i1567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1046" o:title=""/>
            <o:lock v:ext="edit" aspectratio="t"/>
            <w10:wrap type="none"/>
            <w10:anchorlock/>
          </v:shape>
          <o:OLEObject Type="Embed" ProgID="Equation.DSMT4" ShapeID="_x0000_i1567" DrawAspect="Content" ObjectID="_1468076267" r:id="rId1045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实际市场收益率</w:t>
      </w:r>
    </w:p>
    <w:p>
      <w:pPr>
        <w:jc w:val="center"/>
        <w:rPr>
          <w:strike/>
        </w:rPr>
      </w:pPr>
    </w:p>
    <w:p>
      <w:pPr>
        <w:pStyle w:val="6"/>
      </w:pPr>
      <w:r>
        <w:rPr>
          <w:rFonts w:hint="eastAsia"/>
        </w:rPr>
        <w:t>风险分解</w:t>
      </w:r>
    </w:p>
    <w:p>
      <w:pPr>
        <w:pStyle w:val="6"/>
      </w:pPr>
      <w:bookmarkStart w:id="174" w:name="OLE_LINK105"/>
      <w:r>
        <w:rPr>
          <w:rFonts w:hint="eastAsia"/>
        </w:rPr>
        <w:t>投资组合组成部分i的方差和标准差分解</w:t>
      </w:r>
    </w:p>
    <w:bookmarkEnd w:id="174"/>
    <w:p>
      <w:pPr>
        <w:jc w:val="center"/>
        <w:rPr>
          <w:vertAlign w:val="subscript"/>
        </w:rPr>
      </w:pPr>
      <w:r>
        <w:rPr>
          <w:position w:val="-4"/>
        </w:rPr>
        <w:object>
          <v:shape id="_x0000_i1568" o:spt="75" type="#_x0000_t75" style="height:14.3pt;width:9.2pt;" o:ole="t" filled="f" o:preferrelative="t" stroked="f" coordsize="21600,21600">
            <v:path/>
            <v:fill on="f" focussize="0,0"/>
            <v:stroke on="f" joinstyle="miter"/>
            <v:imagedata r:id="rId1048" o:title=""/>
            <o:lock v:ext="edit" aspectratio="t"/>
            <w10:wrap type="none"/>
            <w10:anchorlock/>
          </v:shape>
          <o:OLEObject Type="Embed" ProgID="Equation.DSMT4" ShapeID="_x0000_i1568" DrawAspect="Content" ObjectID="_1468076268" r:id="rId1047">
            <o:LockedField>false</o:LockedField>
          </o:OLEObject>
        </w:object>
      </w:r>
      <w:r>
        <w:rPr>
          <w:position w:val="-86"/>
        </w:rPr>
        <w:object>
          <v:shape id="_x0000_i1569" o:spt="75" type="#_x0000_t75" style="height:92.45pt;width:387.55pt;" o:ole="t" filled="f" o:preferrelative="t" stroked="f" coordsize="21600,21600">
            <v:path/>
            <v:fill on="f" focussize="0,0"/>
            <v:stroke on="f" joinstyle="miter"/>
            <v:imagedata r:id="rId1050" o:title=""/>
            <o:lock v:ext="edit" aspectratio="t"/>
            <w10:wrap type="none"/>
            <w10:anchorlock/>
          </v:shape>
          <o:OLEObject Type="Embed" ProgID="Equation.DSMT4" ShapeID="_x0000_i1569" DrawAspect="Content" ObjectID="_1468076269" r:id="rId1049">
            <o:LockedField>false</o:LockedField>
          </o:OLEObject>
        </w:object>
      </w:r>
    </w:p>
    <w:p>
      <w:pPr>
        <w:jc w:val="left"/>
      </w:pPr>
      <w:r>
        <w:rPr>
          <w:rFonts w:hint="eastAsia"/>
        </w:rPr>
        <w:t>此处</w:t>
      </w:r>
    </w:p>
    <w:p>
      <w:pPr>
        <w:ind w:firstLine="420" w:firstLineChars="200"/>
        <w:jc w:val="left"/>
      </w:pPr>
      <w:bookmarkStart w:id="175" w:name="OLE_LINK106"/>
      <w:bookmarkStart w:id="176" w:name="OLE_LINK107"/>
      <w:bookmarkStart w:id="177" w:name="OLE_LINK102"/>
      <w:bookmarkStart w:id="178" w:name="OLE_LINK101"/>
      <w:r>
        <w:rPr>
          <w:position w:val="-14"/>
        </w:rPr>
        <w:object>
          <v:shape id="_x0000_i1570" o:spt="75" type="#_x0000_t75" style="height:18.9pt;width:36.75pt;" o:ole="t" filled="f" o:preferrelative="t" stroked="f" coordsize="21600,21600">
            <v:path/>
            <v:fill on="f" focussize="0,0"/>
            <v:stroke on="f" joinstyle="miter"/>
            <v:imagedata r:id="rId1052" o:title=""/>
            <o:lock v:ext="edit" aspectratio="t"/>
            <w10:wrap type="none"/>
            <w10:anchorlock/>
          </v:shape>
          <o:OLEObject Type="Embed" ProgID="Equation.3" ShapeID="_x0000_i1570" DrawAspect="Content" ObjectID="_1468076270" r:id="rId1051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投资组合组成部分</w:t>
      </w:r>
      <w:r>
        <w:t>i</w:t>
      </w:r>
      <w:r>
        <w:rPr>
          <w:rFonts w:hint="eastAsia"/>
        </w:rPr>
        <w:t>对投资组合方差的贡献</w:t>
      </w:r>
    </w:p>
    <w:bookmarkEnd w:id="175"/>
    <w:bookmarkEnd w:id="176"/>
    <w:p>
      <w:pPr>
        <w:ind w:firstLine="420" w:firstLineChars="200"/>
        <w:jc w:val="left"/>
      </w:pPr>
      <w:r>
        <w:rPr>
          <w:position w:val="-14"/>
        </w:rPr>
        <w:object>
          <v:shape id="_x0000_i1571" o:spt="75" type="#_x0000_t75" style="height:18.9pt;width:28.6pt;" o:ole="t" filled="f" o:preferrelative="t" stroked="f" coordsize="21600,21600">
            <v:path/>
            <v:fill on="f" focussize="0,0"/>
            <v:stroke on="f" joinstyle="miter"/>
            <v:imagedata r:id="rId1054" o:title=""/>
            <o:lock v:ext="edit" aspectratio="t"/>
            <w10:wrap type="none"/>
            <w10:anchorlock/>
          </v:shape>
          <o:OLEObject Type="Embed" ProgID="Equation.3" ShapeID="_x0000_i1571" DrawAspect="Content" ObjectID="_1468076271" r:id="rId1053">
            <o:LockedField>false</o:LockedField>
          </o:OLEObject>
        </w:object>
      </w:r>
      <w:bookmarkEnd w:id="177"/>
      <w:bookmarkEnd w:id="178"/>
      <w:bookmarkStart w:id="179" w:name="OLE_LINK104"/>
      <w:bookmarkStart w:id="180" w:name="OLE_LINK103"/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投资组合组成部分i对投资组合回报率的贡献</w:t>
      </w:r>
    </w:p>
    <w:bookmarkEnd w:id="179"/>
    <w:bookmarkEnd w:id="180"/>
    <w:p>
      <w:pPr>
        <w:ind w:firstLine="420" w:firstLineChars="200"/>
        <w:jc w:val="left"/>
      </w:pPr>
      <w:r>
        <w:rPr>
          <w:position w:val="-14"/>
        </w:rPr>
        <w:object>
          <v:shape id="_x0000_i1572" o:spt="75" type="#_x0000_t75" style="height:18.9pt;width:36.25pt;" o:ole="t" filled="f" o:preferrelative="t" stroked="f" coordsize="21600,21600">
            <v:path/>
            <v:fill on="f" focussize="0,0"/>
            <v:stroke on="f" joinstyle="miter"/>
            <v:imagedata r:id="rId1056" o:title=""/>
            <o:lock v:ext="edit" aspectratio="t"/>
            <w10:wrap type="none"/>
            <w10:anchorlock/>
          </v:shape>
          <o:OLEObject Type="Embed" ProgID="Equation.3" ShapeID="_x0000_i1572" DrawAspect="Content" ObjectID="_1468076272" r:id="rId1055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投资组合组成部分</w:t>
      </w:r>
      <w:r>
        <w:t>i</w:t>
      </w:r>
      <w:r>
        <w:rPr>
          <w:rFonts w:hint="eastAsia"/>
        </w:rPr>
        <w:t>对投资组合标准差的贡献</w:t>
      </w:r>
    </w:p>
    <w:p>
      <w:pPr>
        <w:jc w:val="left"/>
      </w:pPr>
    </w:p>
    <w:p>
      <w:pPr>
        <w:pStyle w:val="6"/>
      </w:pPr>
      <w:r>
        <w:rPr>
          <w:rFonts w:hint="eastAsia"/>
        </w:rPr>
        <w:t>投资组合组成部分i对跟踪误差方差和标准差的贡献</w:t>
      </w:r>
    </w:p>
    <w:p>
      <w:pPr>
        <w:ind w:firstLine="1470" w:firstLineChars="700"/>
        <w:jc w:val="center"/>
      </w:pPr>
      <w:r>
        <w:rPr>
          <w:rFonts w:hint="eastAsia"/>
          <w:position w:val="-28"/>
        </w:rPr>
        <w:object>
          <v:shape id="_x0000_i1573" o:spt="75" type="#_x0000_t75" style="height:33.7pt;width:198.15pt;" o:ole="t" filled="f" o:preferrelative="t" stroked="f" coordsize="21600,21600">
            <v:path/>
            <v:fill on="f" focussize="0,0"/>
            <v:stroke on="f" joinstyle="miter"/>
            <v:imagedata r:id="rId1058" o:title=""/>
            <o:lock v:ext="edit" aspectratio="t"/>
            <w10:wrap type="none"/>
            <w10:anchorlock/>
          </v:shape>
          <o:OLEObject Type="Embed" ProgID="Equation.DSMT4" ShapeID="_x0000_i1573" DrawAspect="Content" ObjectID="_1468076273" r:id="rId1057">
            <o:LockedField>false</o:LockedField>
          </o:OLEObject>
        </w:object>
      </w:r>
    </w:p>
    <w:p>
      <w:pPr>
        <w:jc w:val="center"/>
      </w:pPr>
      <w:r>
        <w:rPr>
          <w:rFonts w:hint="eastAsia"/>
        </w:rPr>
        <w:t>TESD</w:t>
      </w:r>
      <w:r>
        <w:rPr>
          <w:rFonts w:hint="eastAsia"/>
          <w:vertAlign w:val="subscript"/>
        </w:rPr>
        <w:t>p</w:t>
      </w:r>
      <w:r>
        <w:rPr>
          <w:rFonts w:hint="eastAsia"/>
        </w:rPr>
        <w:t xml:space="preserve">= </w:t>
      </w:r>
      <w:r>
        <w:rPr>
          <w:rFonts w:hint="eastAsia"/>
          <w:position w:val="-32"/>
        </w:rPr>
        <w:object>
          <v:shape id="_x0000_i1574" o:spt="75" type="#_x0000_t75" style="height:36.25pt;width:50.05pt;" o:ole="t" filled="f" o:preferrelative="t" stroked="f" coordsize="21600,21600">
            <v:path/>
            <v:fill on="f" focussize="0,0"/>
            <v:stroke on="f" joinstyle="miter"/>
            <v:imagedata r:id="rId1060" o:title=""/>
            <o:lock v:ext="edit" aspectratio="t"/>
            <w10:wrap type="none"/>
            <w10:anchorlock/>
          </v:shape>
          <o:OLEObject Type="Embed" ProgID="Equation.3" ShapeID="_x0000_i1574" DrawAspect="Content" ObjectID="_1468076274" r:id="rId1059">
            <o:LockedField>false</o:LockedField>
          </o:OLEObject>
        </w:object>
      </w:r>
    </w:p>
    <w:p>
      <w:pPr>
        <w:ind w:firstLine="1680" w:firstLineChars="800"/>
        <w:jc w:val="left"/>
      </w:pPr>
      <w:r>
        <w:rPr>
          <w:rFonts w:hint="eastAsia"/>
          <w:position w:val="-14"/>
        </w:rPr>
        <w:object>
          <v:shape id="_x0000_i1575" o:spt="75" type="#_x0000_t75" style="height:18.9pt;width:315.55pt;" o:ole="t" filled="f" o:preferrelative="t" stroked="f" coordsize="21600,21600">
            <v:path/>
            <v:fill on="f" focussize="0,0"/>
            <v:stroke on="f" joinstyle="miter"/>
            <v:imagedata r:id="rId1062" o:title=""/>
            <o:lock v:ext="edit" aspectratio="t"/>
            <w10:wrap type="none"/>
            <w10:anchorlock/>
          </v:shape>
          <o:OLEObject Type="Embed" ProgID="Equation.3" ShapeID="_x0000_i1575" DrawAspect="Content" ObjectID="_1468076275" r:id="rId1061">
            <o:LockedField>false</o:LockedField>
          </o:OLEObject>
        </w:object>
      </w:r>
    </w:p>
    <w:p>
      <w:pPr>
        <w:ind w:firstLine="1470" w:firstLineChars="700"/>
        <w:jc w:val="left"/>
      </w:pPr>
      <w:r>
        <w:rPr>
          <w:rFonts w:hint="eastAsia"/>
          <w:position w:val="-14"/>
        </w:rPr>
        <w:object>
          <v:shape id="_x0000_i1576" o:spt="75" type="#_x0000_t75" style="height:18.9pt;width:264pt;" o:ole="t" filled="f" o:preferrelative="t" stroked="f" coordsize="21600,21600">
            <v:path/>
            <v:fill on="f" focussize="0,0"/>
            <v:stroke on="f" joinstyle="miter"/>
            <v:imagedata r:id="rId1064" o:title=""/>
            <o:lock v:ext="edit" aspectratio="t"/>
            <w10:wrap type="none"/>
            <w10:anchorlock/>
          </v:shape>
          <o:OLEObject Type="Embed" ProgID="Equation.3" ShapeID="_x0000_i1576" DrawAspect="Content" ObjectID="_1468076276" r:id="rId1063">
            <o:LockedField>false</o:LockedField>
          </o:OLEObject>
        </w:object>
      </w:r>
    </w:p>
    <w:p>
      <w:pPr>
        <w:jc w:val="left"/>
      </w:pPr>
      <w:r>
        <w:rPr>
          <w:rFonts w:hint="eastAsia"/>
        </w:rPr>
        <w:t>此处</w:t>
      </w:r>
    </w:p>
    <w:p>
      <w:pPr>
        <w:ind w:firstLine="420"/>
        <w:jc w:val="left"/>
      </w:pPr>
      <w:r>
        <w:rPr>
          <w:position w:val="-14"/>
        </w:rPr>
        <w:object>
          <v:shape id="_x0000_i1577" o:spt="75" type="#_x0000_t75" style="height:18.9pt;width:38.8pt;" o:ole="t" filled="f" o:preferrelative="t" stroked="f" coordsize="21600,21600">
            <v:path/>
            <v:fill on="f" focussize="0,0"/>
            <v:stroke on="f" joinstyle="miter"/>
            <v:imagedata r:id="rId1066" o:title=""/>
            <o:lock v:ext="edit" aspectratio="t"/>
            <w10:wrap type="none"/>
            <w10:anchorlock/>
          </v:shape>
          <o:OLEObject Type="Embed" ProgID="Equation.3" ShapeID="_x0000_i1577" DrawAspect="Content" ObjectID="_1468076277" r:id="rId1065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投资组合的跟踪误差方差</w:t>
      </w:r>
    </w:p>
    <w:p>
      <w:pPr>
        <w:ind w:firstLine="420" w:firstLineChars="200"/>
        <w:jc w:val="left"/>
      </w:pPr>
      <w:r>
        <w:rPr>
          <w:position w:val="-14"/>
        </w:rPr>
        <w:object>
          <v:shape id="_x0000_i1578" o:spt="75" type="#_x0000_t75" style="height:18.9pt;width:36.75pt;" o:ole="t" filled="f" o:preferrelative="t" stroked="f" coordsize="21600,21600">
            <v:path/>
            <v:fill on="f" focussize="0,0"/>
            <v:stroke on="f" joinstyle="miter"/>
            <v:imagedata r:id="rId1068" o:title=""/>
            <o:lock v:ext="edit" aspectratio="t"/>
            <w10:wrap type="none"/>
            <w10:anchorlock/>
          </v:shape>
          <o:OLEObject Type="Embed" ProgID="Equation.3" ShapeID="_x0000_i1578" DrawAspect="Content" ObjectID="_1468076278" r:id="rId1067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投资组合的跟踪误差标准差</w:t>
      </w:r>
      <w:bookmarkStart w:id="181" w:name="OLE_LINK108"/>
      <w:bookmarkStart w:id="182" w:name="OLE_LINK109"/>
    </w:p>
    <w:p>
      <w:pPr>
        <w:ind w:firstLine="420" w:firstLineChars="200"/>
        <w:jc w:val="left"/>
      </w:pPr>
      <w:r>
        <w:rPr>
          <w:position w:val="-14"/>
        </w:rPr>
        <w:object>
          <v:shape id="_x0000_i1579" o:spt="75" type="#_x0000_t75" style="height:18.9pt;width:51.05pt;" o:ole="t" filled="f" o:preferrelative="t" stroked="f" coordsize="21600,21600">
            <v:path/>
            <v:fill on="f" focussize="0,0"/>
            <v:stroke on="f" joinstyle="miter"/>
            <v:imagedata r:id="rId1070" o:title=""/>
            <o:lock v:ext="edit" aspectratio="t"/>
            <w10:wrap type="none"/>
            <w10:anchorlock/>
          </v:shape>
          <o:OLEObject Type="Embed" ProgID="Equation.3" ShapeID="_x0000_i1579" DrawAspect="Content" ObjectID="_1468076279" r:id="rId1069">
            <o:LockedField>false</o:LockedField>
          </o:OLEObject>
        </w:object>
      </w:r>
      <w:r>
        <w:tab/>
      </w:r>
      <w:r>
        <w:rPr>
          <w:rFonts w:hint="eastAsia"/>
        </w:rPr>
        <w:t>投资组合组成部分i对投资组合跟踪误差方差的贡献</w:t>
      </w:r>
      <w:bookmarkEnd w:id="181"/>
      <w:bookmarkEnd w:id="182"/>
    </w:p>
    <w:p>
      <w:pPr>
        <w:ind w:firstLine="420" w:firstLineChars="200"/>
        <w:jc w:val="left"/>
      </w:pPr>
      <w:r>
        <w:rPr>
          <w:position w:val="-14"/>
        </w:rPr>
        <w:object>
          <v:shape id="_x0000_i1580" o:spt="75" type="#_x0000_t75" style="height:18.9pt;width:48.5pt;" o:ole="t" filled="f" o:preferrelative="t" stroked="f" coordsize="21600,21600">
            <v:path/>
            <v:fill on="f" focussize="0,0"/>
            <v:stroke on="f" joinstyle="miter"/>
            <v:imagedata r:id="rId1072" o:title=""/>
            <o:lock v:ext="edit" aspectratio="t"/>
            <w10:wrap type="none"/>
            <w10:anchorlock/>
          </v:shape>
          <o:OLEObject Type="Embed" ProgID="Equation.3" ShapeID="_x0000_i1580" DrawAspect="Content" ObjectID="_1468076280" r:id="rId1071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投资组合组成部分i对投资组合跟踪误差标准差的贡献</w:t>
      </w:r>
    </w:p>
    <w:p>
      <w:pPr>
        <w:jc w:val="left"/>
      </w:pPr>
    </w:p>
    <w:p>
      <w:pPr>
        <w:pStyle w:val="6"/>
      </w:pPr>
      <w:bookmarkStart w:id="183" w:name="OLE_LINK111"/>
      <w:bookmarkStart w:id="184" w:name="OLE_LINK112"/>
      <w:r>
        <w:rPr>
          <w:rFonts w:hint="eastAsia"/>
        </w:rPr>
        <w:t>单因素BHB风险分解法</w:t>
      </w:r>
    </w:p>
    <w:bookmarkEnd w:id="183"/>
    <w:bookmarkEnd w:id="184"/>
    <w:p>
      <w:pPr>
        <w:jc w:val="left"/>
      </w:pPr>
      <w:r>
        <w:rPr>
          <w:rFonts w:hint="eastAsia"/>
          <w:position w:val="-28"/>
        </w:rPr>
        <w:object>
          <v:shape id="_x0000_i1581" o:spt="75" type="#_x0000_t75" style="height:33.7pt;width:341.1pt;" o:ole="t" filled="f" o:preferrelative="t" stroked="f" coordsize="21600,21600">
            <v:path/>
            <v:fill on="f" focussize="0,0"/>
            <v:stroke on="f" joinstyle="miter"/>
            <v:imagedata r:id="rId1074" o:title=""/>
            <o:lock v:ext="edit" aspectratio="t"/>
            <w10:wrap type="none"/>
            <w10:anchorlock/>
          </v:shape>
          <o:OLEObject Type="Embed" ProgID="Equation.3" ShapeID="_x0000_i1581" DrawAspect="Content" ObjectID="_1468076281" r:id="rId1073">
            <o:LockedField>false</o:LockedField>
          </o:OLEObject>
        </w:object>
      </w:r>
    </w:p>
    <w:p>
      <w:pPr>
        <w:ind w:firstLine="840" w:firstLineChars="400"/>
        <w:jc w:val="left"/>
      </w:pPr>
      <w:r>
        <w:rPr>
          <w:rFonts w:hint="eastAsia"/>
        </w:rPr>
        <w:t>=</w:t>
      </w:r>
      <w:r>
        <w:rPr>
          <w:rFonts w:hint="eastAsia"/>
          <w:position w:val="-28"/>
        </w:rPr>
        <w:object>
          <v:shape id="_x0000_i1582" o:spt="75" type="#_x0000_t75" style="height:33.7pt;width:305.85pt;" o:ole="t" filled="f" o:preferrelative="t" stroked="f" coordsize="21600,21600">
            <v:path/>
            <v:fill on="f" focussize="0,0"/>
            <v:stroke on="f" joinstyle="miter"/>
            <v:imagedata r:id="rId1076" o:title=""/>
            <o:lock v:ext="edit" aspectratio="t"/>
            <w10:wrap type="none"/>
            <w10:anchorlock/>
          </v:shape>
          <o:OLEObject Type="Embed" ProgID="Equation.3" ShapeID="_x0000_i1582" DrawAspect="Content" ObjectID="_1468076282" r:id="rId1075">
            <o:LockedField>false</o:LockedField>
          </o:OLEObject>
        </w:object>
      </w:r>
    </w:p>
    <w:p>
      <w:pPr>
        <w:jc w:val="left"/>
      </w:pPr>
      <w:r>
        <w:rPr>
          <w:rFonts w:hint="eastAsia"/>
        </w:rPr>
        <w:t>CTEVar</w:t>
      </w:r>
      <w:r>
        <w:rPr>
          <w:rFonts w:hint="eastAsia"/>
          <w:position w:val="-14"/>
        </w:rPr>
        <w:object>
          <v:shape id="_x0000_i1583" o:spt="75" type="#_x0000_t75" style="height:20.45pt;width:195.05pt;" o:ole="t" filled="f" o:preferrelative="t" stroked="f" coordsize="21600,21600">
            <v:path/>
            <v:fill on="f" focussize="0,0"/>
            <v:stroke on="f" joinstyle="miter"/>
            <v:imagedata r:id="rId1078" o:title=""/>
            <o:lock v:ext="edit" aspectratio="t"/>
            <w10:wrap type="none"/>
            <w10:anchorlock/>
          </v:shape>
          <o:OLEObject Type="Embed" ProgID="Equation.3" ShapeID="_x0000_i1583" DrawAspect="Content" ObjectID="_1468076283" r:id="rId1077">
            <o:LockedField>false</o:LockedField>
          </o:OLEObject>
        </w:object>
      </w:r>
    </w:p>
    <w:p>
      <w:pPr>
        <w:ind w:firstLine="840" w:firstLineChars="400"/>
        <w:jc w:val="left"/>
      </w:pPr>
      <w:r>
        <w:rPr>
          <w:rFonts w:hint="eastAsia"/>
          <w:position w:val="-14"/>
        </w:rPr>
        <w:object>
          <v:shape id="_x0000_i1584" o:spt="75" type="#_x0000_t75" style="height:20.45pt;width:276.75pt;" o:ole="t" filled="f" o:preferrelative="t" stroked="f" coordsize="21600,21600">
            <v:path/>
            <v:fill on="f" focussize="0,0"/>
            <v:stroke on="f" joinstyle="miter"/>
            <v:imagedata r:id="rId1080" o:title=""/>
            <o:lock v:ext="edit" aspectratio="t"/>
            <w10:wrap type="none"/>
            <w10:anchorlock/>
          </v:shape>
          <o:OLEObject Type="Embed" ProgID="Equation.3" ShapeID="_x0000_i1584" DrawAspect="Content" ObjectID="_1468076284" r:id="rId1079">
            <o:LockedField>false</o:LockedField>
          </o:OLEObject>
        </w:object>
      </w:r>
    </w:p>
    <w:p>
      <w:pPr>
        <w:jc w:val="left"/>
      </w:pPr>
      <w:r>
        <w:rPr>
          <w:rFonts w:hint="eastAsia"/>
          <w:position w:val="-14"/>
        </w:rPr>
        <w:object>
          <v:shape id="_x0000_i1585" o:spt="75" type="#_x0000_t75" style="height:20.45pt;width:233.85pt;" o:ole="t" filled="f" o:preferrelative="t" stroked="f" coordsize="21600,21600">
            <v:path/>
            <v:fill on="f" focussize="0,0"/>
            <v:stroke on="f" joinstyle="miter"/>
            <v:imagedata r:id="rId1082" o:title=""/>
            <o:lock v:ext="edit" aspectratio="t"/>
            <w10:wrap type="none"/>
            <w10:anchorlock/>
          </v:shape>
          <o:OLEObject Type="Embed" ProgID="Equation.3" ShapeID="_x0000_i1585" DrawAspect="Content" ObjectID="_1468076285" r:id="rId1081">
            <o:LockedField>false</o:LockedField>
          </o:OLEObject>
        </w:object>
      </w:r>
    </w:p>
    <w:p>
      <w:pPr>
        <w:ind w:firstLine="420" w:firstLineChars="200"/>
        <w:jc w:val="left"/>
      </w:pPr>
    </w:p>
    <w:p>
      <w:r>
        <w:rPr>
          <w:rFonts w:hint="eastAsia"/>
        </w:rPr>
        <w:t>此处</w:t>
      </w:r>
    </w:p>
    <w:p>
      <w:pPr>
        <w:ind w:firstLine="420"/>
      </w:pPr>
      <w:r>
        <w:rPr>
          <w:position w:val="-14"/>
        </w:rPr>
        <w:object>
          <v:shape id="_x0000_i1586" o:spt="75" type="#_x0000_t75" style="height:19.4pt;width:58.7pt;" o:ole="t" filled="f" o:preferrelative="t" stroked="f" coordsize="21600,21600">
            <v:path/>
            <v:fill on="f" focussize="0,0"/>
            <v:stroke on="f" joinstyle="miter"/>
            <v:imagedata r:id="rId1084" o:title=""/>
            <o:lock v:ext="edit" aspectratio="t"/>
            <w10:wrap type="none"/>
            <w10:anchorlock/>
          </v:shape>
          <o:OLEObject Type="Embed" ProgID="Equation.3" ShapeID="_x0000_i1586" DrawAspect="Content" ObjectID="_1468076286" r:id="rId1083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投资组合组成部分i的资产配置效应对投资组合跟踪误差方差的贡献</w:t>
      </w:r>
    </w:p>
    <w:p>
      <w:pPr>
        <w:ind w:firstLine="420"/>
      </w:pPr>
      <w:r>
        <w:rPr>
          <w:position w:val="-14"/>
        </w:rPr>
        <w:object>
          <v:shape id="_x0000_i1587" o:spt="75" type="#_x0000_t75" style="height:19.4pt;width:56.15pt;" o:ole="t" filled="f" o:preferrelative="t" stroked="f" coordsize="21600,21600">
            <v:path/>
            <v:fill on="f" focussize="0,0"/>
            <v:stroke on="f" joinstyle="miter"/>
            <v:imagedata r:id="rId1086" o:title=""/>
            <o:lock v:ext="edit" aspectratio="t"/>
            <w10:wrap type="none"/>
            <w10:anchorlock/>
          </v:shape>
          <o:OLEObject Type="Embed" ProgID="Equation.3" ShapeID="_x0000_i1587" DrawAspect="Content" ObjectID="_1468076287" r:id="rId1085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投资组合组成部分i的证券选择效应对投资组合跟踪误差方差的贡献</w:t>
      </w:r>
    </w:p>
    <w:p>
      <w:pPr>
        <w:ind w:firstLine="420"/>
      </w:pPr>
      <w:r>
        <w:rPr>
          <w:position w:val="-14"/>
        </w:rPr>
        <w:object>
          <v:shape id="_x0000_i1588" o:spt="75" type="#_x0000_t75" style="height:19.4pt;width:56.15pt;" o:ole="t" filled="f" o:preferrelative="t" stroked="f" coordsize="21600,21600">
            <v:path/>
            <v:fill on="f" focussize="0,0"/>
            <v:stroke on="f" joinstyle="miter"/>
            <v:imagedata r:id="rId1088" o:title=""/>
            <o:lock v:ext="edit" aspectratio="t"/>
            <w10:wrap type="none"/>
            <w10:anchorlock/>
          </v:shape>
          <o:OLEObject Type="Embed" ProgID="Equation.3" ShapeID="_x0000_i1588" DrawAspect="Content" ObjectID="_1468076288" r:id="rId1087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投资组合组成部分i的相互作用效应对投资组合跟踪误差方差的贡献</w:t>
      </w:r>
      <w:bookmarkStart w:id="185" w:name="OLE_LINK113"/>
    </w:p>
    <w:p>
      <w:pPr>
        <w:ind w:firstLine="420"/>
      </w:pPr>
      <w:r>
        <w:rPr>
          <w:position w:val="-14"/>
        </w:rPr>
        <w:object>
          <v:shape id="_x0000_i1589" o:spt="75" type="#_x0000_t75" style="height:19.4pt;width:56.15pt;" o:ole="t" filled="f" o:preferrelative="t" stroked="f" coordsize="21600,21600">
            <v:path/>
            <v:fill on="f" focussize="0,0"/>
            <v:stroke on="f" joinstyle="miter"/>
            <v:imagedata r:id="rId1090" o:title=""/>
            <o:lock v:ext="edit" aspectratio="t"/>
            <w10:wrap type="none"/>
            <w10:anchorlock/>
          </v:shape>
          <o:OLEObject Type="Embed" ProgID="Equation.3" ShapeID="_x0000_i1589" DrawAspect="Content" ObjectID="_1468076289" r:id="rId1089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投资组合组成部分i的资产配置效应对投资组合跟踪误差标准差的贡献</w:t>
      </w:r>
    </w:p>
    <w:p>
      <w:pPr>
        <w:ind w:firstLine="420"/>
      </w:pPr>
      <w:r>
        <w:rPr>
          <w:position w:val="-14"/>
        </w:rPr>
        <w:object>
          <v:shape id="_x0000_i1590" o:spt="75" type="#_x0000_t75" style="height:19.4pt;width:54.65pt;" o:ole="t" filled="f" o:preferrelative="t" stroked="f" coordsize="21600,21600">
            <v:path/>
            <v:fill on="f" focussize="0,0"/>
            <v:stroke on="f" joinstyle="miter"/>
            <v:imagedata r:id="rId1092" o:title=""/>
            <o:lock v:ext="edit" aspectratio="t"/>
            <w10:wrap type="none"/>
            <w10:anchorlock/>
          </v:shape>
          <o:OLEObject Type="Embed" ProgID="Equation.3" ShapeID="_x0000_i1590" DrawAspect="Content" ObjectID="_1468076290" r:id="rId1091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投资组合组成部分i的证券选择效应对投资组合跟踪误差标准差的贡献</w:t>
      </w:r>
    </w:p>
    <w:p>
      <w:pPr>
        <w:ind w:firstLine="420"/>
      </w:pPr>
      <w:r>
        <w:rPr>
          <w:position w:val="-14"/>
        </w:rPr>
        <w:object>
          <v:shape id="_x0000_i1591" o:spt="75" type="#_x0000_t75" style="height:19.4pt;width:54.65pt;" o:ole="t" filled="f" o:preferrelative="t" stroked="f" coordsize="21600,21600">
            <v:path/>
            <v:fill on="f" focussize="0,0"/>
            <v:stroke on="f" joinstyle="miter"/>
            <v:imagedata r:id="rId1094" o:title=""/>
            <o:lock v:ext="edit" aspectratio="t"/>
            <w10:wrap type="none"/>
            <w10:anchorlock/>
          </v:shape>
          <o:OLEObject Type="Embed" ProgID="Equation.3" ShapeID="_x0000_i1591" DrawAspect="Content" ObjectID="_1468076291" r:id="rId1093">
            <o:LockedField>false</o:LockedField>
          </o:OLEObject>
        </w:object>
      </w:r>
      <w:r>
        <w:rPr>
          <w:position w:val="-14"/>
        </w:rPr>
        <w:tab/>
      </w:r>
      <w:r>
        <w:rPr>
          <w:rFonts w:hint="eastAsia"/>
        </w:rPr>
        <w:t>投资组合组成部分i的相互作用效应对投资组合跟踪误差标准差的贡献</w:t>
      </w:r>
    </w:p>
    <w:p/>
    <w:bookmarkEnd w:id="185"/>
    <w:p>
      <w:pPr>
        <w:pStyle w:val="6"/>
      </w:pPr>
      <w:r>
        <w:rPr>
          <w:rFonts w:hint="eastAsia"/>
        </w:rPr>
        <w:t>基于风险分解的多因素回归</w:t>
      </w:r>
    </w:p>
    <w:p>
      <w:pPr>
        <w:ind w:left="2310" w:leftChars="400" w:hanging="1470" w:hangingChars="700"/>
      </w:pPr>
      <w:r>
        <w:rPr>
          <w:rFonts w:hint="eastAsia"/>
          <w:position w:val="-28"/>
        </w:rPr>
        <w:object>
          <v:shape id="_x0000_i1592" o:spt="75" type="#_x0000_t75" style="height:33.7pt;width:308.95pt;" o:ole="t" filled="f" o:preferrelative="t" stroked="f" coordsize="21600,21600">
            <v:path/>
            <v:fill on="f" focussize="0,0"/>
            <v:stroke on="f" joinstyle="miter"/>
            <v:imagedata r:id="rId1096" o:title=""/>
            <o:lock v:ext="edit" aspectratio="t"/>
            <w10:wrap type="none"/>
            <w10:anchorlock/>
          </v:shape>
          <o:OLEObject Type="Embed" ProgID="Equation.3" ShapeID="_x0000_i1592" DrawAspect="Content" ObjectID="_1468076292" r:id="rId1095">
            <o:LockedField>false</o:LockedField>
          </o:OLEObject>
        </w:object>
      </w:r>
    </w:p>
    <w:p>
      <w:pPr>
        <w:ind w:left="2310" w:leftChars="400" w:hanging="1470" w:hangingChars="700"/>
        <w:jc w:val="center"/>
      </w:pPr>
      <w:r>
        <w:rPr>
          <w:rFonts w:hint="eastAsia"/>
          <w:position w:val="-32"/>
        </w:rPr>
        <w:object>
          <v:shape id="_x0000_i1593" o:spt="75" type="#_x0000_t75" style="height:36.25pt;width:305.85pt;" o:ole="t" filled="f" o:preferrelative="t" stroked="f" coordsize="21600,21600">
            <v:path/>
            <v:fill on="f" focussize="0,0"/>
            <v:stroke on="f" joinstyle="miter"/>
            <v:imagedata r:id="rId1098" o:title=""/>
            <o:lock v:ext="edit" aspectratio="t"/>
            <w10:wrap type="none"/>
            <w10:anchorlock/>
          </v:shape>
          <o:OLEObject Type="Embed" ProgID="Equation.3" ShapeID="_x0000_i1593" DrawAspect="Content" ObjectID="_1468076293" r:id="rId1097">
            <o:LockedField>false</o:LockedField>
          </o:OLEObject>
        </w:object>
      </w:r>
    </w:p>
    <w:p>
      <w:r>
        <w:rPr>
          <w:rFonts w:hint="eastAsia"/>
        </w:rPr>
        <w:t>此处</w:t>
      </w:r>
    </w:p>
    <w:p>
      <w:pPr>
        <w:ind w:firstLine="420"/>
      </w:pPr>
      <w:bookmarkStart w:id="186" w:name="OLE_LINK114"/>
      <w:r>
        <w:rPr>
          <w:position w:val="-14"/>
        </w:rPr>
        <w:object>
          <v:shape id="_x0000_i1594" o:spt="75" type="#_x0000_t75" style="height:18.9pt;width:21.95pt;" o:ole="t" filled="f" o:preferrelative="t" stroked="f" coordsize="21600,21600">
            <v:path/>
            <v:fill on="f" focussize="0,0"/>
            <v:stroke on="f" joinstyle="miter"/>
            <v:imagedata r:id="rId1100" o:title=""/>
            <o:lock v:ext="edit" aspectratio="t"/>
            <w10:wrap type="none"/>
            <w10:anchorlock/>
          </v:shape>
          <o:OLEObject Type="Embed" ProgID="Equation.3" ShapeID="_x0000_i1594" DrawAspect="Content" ObjectID="_1468076294" r:id="rId1099">
            <o:LockedField>false</o:LockedField>
          </o:OLEObject>
        </w:object>
      </w:r>
      <w:bookmarkEnd w:id="186"/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投资组合组成部分i的主动权重</w:t>
      </w:r>
    </w:p>
    <w:p>
      <w:pPr>
        <w:ind w:firstLine="420"/>
      </w:pPr>
      <w:r>
        <w:rPr>
          <w:position w:val="-14"/>
        </w:rPr>
        <w:object>
          <v:shape id="_x0000_i1595" o:spt="75" type="#_x0000_t75" style="height:18.9pt;width:24pt;" o:ole="t" filled="f" o:preferrelative="t" stroked="f" coordsize="21600,21600">
            <v:path/>
            <v:fill on="f" focussize="0,0"/>
            <v:stroke on="f" joinstyle="miter"/>
            <v:imagedata r:id="rId1102" o:title=""/>
            <o:lock v:ext="edit" aspectratio="t"/>
            <w10:wrap type="none"/>
            <w10:anchorlock/>
          </v:shape>
          <o:OLEObject Type="Embed" ProgID="Equation.3" ShapeID="_x0000_i1595" DrawAspect="Content" ObjectID="_1468076295" r:id="rId1101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基准组成要素i回报率对因素1敏感度</w:t>
      </w:r>
    </w:p>
    <w:p>
      <w:pPr>
        <w:ind w:firstLine="420"/>
      </w:pPr>
      <w:r>
        <w:rPr>
          <w:position w:val="-10"/>
        </w:rPr>
        <w:object>
          <v:shape id="_x0000_i1596" o:spt="75" type="#_x0000_t75" style="height:16.35pt;width:60.25pt;" o:ole="t" filled="f" o:preferrelative="t" stroked="f" coordsize="21600,21600">
            <v:path/>
            <v:fill on="f" focussize="0,0"/>
            <v:stroke on="f" joinstyle="miter"/>
            <v:imagedata r:id="rId1104" o:title=""/>
            <o:lock v:ext="edit" aspectratio="t"/>
            <w10:wrap type="none"/>
            <w10:anchorlock/>
          </v:shape>
          <o:OLEObject Type="Embed" ProgID="Equation.3" ShapeID="_x0000_i1596" DrawAspect="Content" ObjectID="_1468076296" r:id="rId1103">
            <o:LockedField>false</o:LockedField>
          </o:OLEObject>
        </w:object>
      </w:r>
      <w:r>
        <w:rPr>
          <w:position w:val="-10"/>
        </w:rPr>
        <w:tab/>
      </w:r>
      <w:r>
        <w:rPr>
          <w:rFonts w:hint="eastAsia"/>
        </w:rPr>
        <w:t>要素1的回报率和投资组合针对基准的超额回报率之间的相关系数</w:t>
      </w:r>
    </w:p>
    <w:p>
      <w:pPr>
        <w:ind w:firstLine="420"/>
        <w:jc w:val="left"/>
      </w:pPr>
      <w:r>
        <w:rPr>
          <w:position w:val="-10"/>
        </w:rPr>
        <w:object>
          <v:shape id="_x0000_i1597" o:spt="75" type="#_x0000_t75" style="height:16.35pt;width:14.3pt;" o:ole="t" filled="f" o:preferrelative="t" stroked="f" coordsize="21600,21600">
            <v:path/>
            <v:fill on="f" focussize="0,0"/>
            <v:stroke on="f" joinstyle="miter"/>
            <v:imagedata r:id="rId1106" o:title=""/>
            <o:lock v:ext="edit" aspectratio="t"/>
            <w10:wrap type="none"/>
            <w10:anchorlock/>
          </v:shape>
          <o:OLEObject Type="Embed" ProgID="Equation.3" ShapeID="_x0000_i1597" DrawAspect="Content" ObjectID="_1468076297" r:id="rId1105">
            <o:LockedField>false</o:LockedField>
          </o:OLEObject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position w:val="-10"/>
        </w:rPr>
        <w:tab/>
      </w:r>
      <w:r>
        <w:rPr>
          <w:rFonts w:hint="eastAsia"/>
        </w:rPr>
        <w:t>因素1回报率的标准差</w:t>
      </w:r>
    </w:p>
    <w:p>
      <w:pPr>
        <w:ind w:firstLine="420"/>
        <w:jc w:val="left"/>
      </w:pPr>
      <w:r>
        <w:rPr>
          <w:position w:val="-14"/>
        </w:rPr>
        <w:object>
          <v:shape id="_x0000_i1598" o:spt="75" type="#_x0000_t75" style="height:18.9pt;width:36.75pt;" o:ole="t" filled="f" o:preferrelative="t" stroked="f" coordsize="21600,21600">
            <v:path/>
            <v:fill on="f" focussize="0,0"/>
            <v:stroke on="f" joinstyle="miter"/>
            <v:imagedata r:id="rId1068" o:title=""/>
            <o:lock v:ext="edit" aspectratio="t"/>
            <w10:wrap type="none"/>
            <w10:anchorlock/>
          </v:shape>
          <o:OLEObject Type="Embed" ProgID="Equation.3" ShapeID="_x0000_i1598" DrawAspect="Content" ObjectID="_1468076298" r:id="rId1107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投资组合的跟踪误差标准差</w:t>
      </w:r>
    </w:p>
    <w:p>
      <w:pPr>
        <w:ind w:firstLine="420"/>
        <w:jc w:val="left"/>
      </w:pPr>
      <w:r>
        <w:rPr>
          <w:position w:val="-14"/>
        </w:rPr>
        <w:object>
          <v:shape id="_x0000_i1599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1109" o:title=""/>
            <o:lock v:ext="edit" aspectratio="t"/>
            <w10:wrap type="none"/>
            <w10:anchorlock/>
          </v:shape>
          <o:OLEObject Type="Embed" ProgID="Equation.3" ShapeID="_x0000_i1599" DrawAspect="Content" ObjectID="_1468076299" r:id="rId1108">
            <o:LockedField>false</o:LockedField>
          </o:OLEObject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position w:val="-14"/>
        </w:rPr>
        <w:tab/>
      </w:r>
      <w:r>
        <w:rPr>
          <w:rFonts w:hint="eastAsia"/>
        </w:rPr>
        <w:t>投资组合组成部分i的非要素回报或特定回报</w:t>
      </w:r>
    </w:p>
    <w:p>
      <w:pPr>
        <w:ind w:firstLine="1470" w:firstLineChars="700"/>
        <w:jc w:val="left"/>
      </w:pPr>
    </w:p>
    <w:p>
      <w:pPr>
        <w:pStyle w:val="5"/>
        <w:rPr>
          <w:lang w:eastAsia="zh-CN"/>
        </w:rPr>
      </w:pPr>
      <w:r>
        <w:rPr>
          <w:lang w:eastAsia="zh-CN"/>
        </w:rPr>
        <w:t>6</w:t>
      </w:r>
      <w:r>
        <w:rPr>
          <w:rFonts w:hint="eastAsia"/>
          <w:lang w:eastAsia="zh-CN"/>
        </w:rPr>
        <w:t>.1.5 专题</w:t>
      </w:r>
    </w:p>
    <w:p>
      <w:pPr>
        <w:pStyle w:val="6"/>
      </w:pPr>
      <w:r>
        <w:rPr>
          <w:rFonts w:hint="eastAsia"/>
        </w:rPr>
        <w:t>国际投资的业绩评价</w:t>
      </w:r>
    </w:p>
    <w:p>
      <w:pPr>
        <w:pStyle w:val="6"/>
      </w:pPr>
      <w:r>
        <w:rPr>
          <w:rFonts w:hint="eastAsia"/>
        </w:rPr>
        <w:t>简单收益率</w:t>
      </w:r>
    </w:p>
    <w:p>
      <w:pPr>
        <w:jc w:val="center"/>
      </w:pPr>
      <w:r>
        <w:rPr>
          <w:position w:val="-10"/>
        </w:rPr>
        <w:object>
          <v:shape id="_x0000_i1600" o:spt="75" type="#_x0000_t75" style="height:16.35pt;width:120.5pt;" o:ole="t" filled="f" o:preferrelative="t" stroked="f" coordsize="21600,21600">
            <v:path/>
            <v:fill on="f" focussize="0,0"/>
            <v:stroke on="f" joinstyle="miter"/>
            <v:imagedata r:id="rId1111" o:title=""/>
            <o:lock v:ext="edit" aspectratio="t"/>
            <w10:wrap type="none"/>
            <w10:anchorlock/>
          </v:shape>
          <o:OLEObject Type="Embed" ProgID="Equation.3" ShapeID="_x0000_i1600" DrawAspect="Content" ObjectID="_1468076300" r:id="rId1110">
            <o:LockedField>false</o:LockedField>
          </o:OLEObject>
        </w:object>
      </w:r>
    </w:p>
    <w:p>
      <w:pPr>
        <w:jc w:val="left"/>
      </w:pPr>
      <w:r>
        <w:rPr>
          <w:rFonts w:hint="eastAsia"/>
        </w:rPr>
        <w:t>此处</w:t>
      </w:r>
    </w:p>
    <w:p>
      <w:pPr>
        <w:ind w:firstLine="420" w:firstLineChars="200"/>
        <w:jc w:val="left"/>
      </w:pPr>
      <w:r>
        <w:rPr>
          <w:position w:val="-12"/>
        </w:rPr>
        <w:object>
          <v:shape id="_x0000_i1601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1113" o:title=""/>
            <o:lock v:ext="edit" aspectratio="t"/>
            <w10:wrap type="none"/>
            <w10:anchorlock/>
          </v:shape>
          <o:OLEObject Type="Embed" ProgID="Equation.DSMT4" ShapeID="_x0000_i1601" DrawAspect="Content" ObjectID="_1468076301" r:id="rId1112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以本币计价的简单收益率</w:t>
      </w:r>
    </w:p>
    <w:p>
      <w:pPr>
        <w:ind w:firstLine="420" w:firstLineChars="200"/>
        <w:jc w:val="left"/>
      </w:pPr>
      <w:r>
        <w:rPr>
          <w:position w:val="-12"/>
        </w:rPr>
        <w:object>
          <v:shape id="_x0000_i1602" o:spt="75" type="#_x0000_t75" style="height:18.9pt;width:18.9pt;" o:ole="t" filled="f" o:preferrelative="t" stroked="f" coordsize="21600,21600">
            <v:path/>
            <v:fill on="f" focussize="0,0"/>
            <v:stroke on="f" joinstyle="miter"/>
            <v:imagedata r:id="rId1115" o:title=""/>
            <o:lock v:ext="edit" aspectratio="t"/>
            <w10:wrap type="none"/>
            <w10:anchorlock/>
          </v:shape>
          <o:OLEObject Type="Embed" ProgID="Equation.DSMT4" ShapeID="_x0000_i1602" DrawAspect="Content" ObjectID="_1468076302" r:id="rId1114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以外币计价的简单收益率</w:t>
      </w:r>
    </w:p>
    <w:p>
      <w:pPr>
        <w:ind w:firstLine="420" w:firstLineChars="200"/>
        <w:jc w:val="left"/>
      </w:pPr>
      <w:r>
        <w:rPr>
          <w:position w:val="-12"/>
        </w:rPr>
        <w:object>
          <v:shape id="_x0000_i1603" o:spt="75" type="#_x0000_t75" style="height:18.9pt;width:11.25pt;" o:ole="t" filled="f" o:preferrelative="t" stroked="f" coordsize="21600,21600">
            <v:path/>
            <v:fill on="f" focussize="0,0"/>
            <v:stroke on="f" joinstyle="miter"/>
            <v:imagedata r:id="rId1117" o:title=""/>
            <o:lock v:ext="edit" aspectratio="t"/>
            <w10:wrap type="none"/>
            <w10:anchorlock/>
          </v:shape>
          <o:OLEObject Type="Embed" ProgID="Equation.DSMT4" ShapeID="_x0000_i1603" DrawAspect="Content" ObjectID="_1468076303" r:id="rId1116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本币币值的相对变化（贬值或升值）</w:t>
      </w:r>
    </w:p>
    <w:p>
      <w:pPr>
        <w:jc w:val="left"/>
      </w:pPr>
    </w:p>
    <w:p>
      <w:pPr>
        <w:pStyle w:val="6"/>
      </w:pPr>
      <w:r>
        <w:rPr>
          <w:rFonts w:hint="eastAsia"/>
        </w:rPr>
        <w:t>连续复利的收益率</w:t>
      </w:r>
    </w:p>
    <w:p>
      <w:pPr>
        <w:jc w:val="center"/>
      </w:pPr>
      <w:r>
        <w:rPr>
          <w:position w:val="-12"/>
        </w:rPr>
        <w:object>
          <v:shape id="_x0000_i1604" o:spt="75" type="#_x0000_t75" style="height:20.45pt;width:65.85pt;" o:ole="t" filled="f" o:preferrelative="t" stroked="f" coordsize="21600,21600">
            <v:path/>
            <v:fill on="f" focussize="0,0"/>
            <v:stroke on="f" joinstyle="miter"/>
            <v:imagedata r:id="rId1119" o:title=""/>
            <o:lock v:ext="edit" aspectratio="t"/>
            <w10:wrap type="none"/>
            <w10:anchorlock/>
          </v:shape>
          <o:OLEObject Type="Embed" ProgID="Equation.3" ShapeID="_x0000_i1604" DrawAspect="Content" ObjectID="_1468076304" r:id="rId1118">
            <o:LockedField>false</o:LockedField>
          </o:OLEObject>
        </w:object>
      </w:r>
    </w:p>
    <w:p>
      <w:pPr>
        <w:jc w:val="left"/>
      </w:pPr>
      <w:r>
        <w:rPr>
          <w:rFonts w:hint="eastAsia"/>
        </w:rPr>
        <w:t>此处</w:t>
      </w:r>
    </w:p>
    <w:p>
      <w:pPr>
        <w:ind w:firstLine="420" w:firstLineChars="200"/>
        <w:jc w:val="left"/>
      </w:pPr>
      <w:r>
        <w:rPr>
          <w:position w:val="-12"/>
        </w:rPr>
        <w:object>
          <v:shape id="_x0000_i1605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1121" o:title=""/>
            <o:lock v:ext="edit" aspectratio="t"/>
            <w10:wrap type="none"/>
            <w10:anchorlock/>
          </v:shape>
          <o:OLEObject Type="Embed" ProgID="Equation.DSMT4" ShapeID="_x0000_i1605" DrawAspect="Content" ObjectID="_1468076305" r:id="rId1120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以本币计价的连续复利的收益率</w:t>
      </w:r>
    </w:p>
    <w:p>
      <w:pPr>
        <w:ind w:firstLine="420" w:firstLineChars="200"/>
        <w:jc w:val="left"/>
      </w:pPr>
      <w:r>
        <w:rPr>
          <w:position w:val="-12"/>
        </w:rPr>
        <w:object>
          <v:shape id="_x0000_i1606" o:spt="75" type="#_x0000_t75" style="height:18.9pt;width:14.8pt;" o:ole="t" filled="f" o:preferrelative="t" stroked="f" coordsize="21600,21600">
            <v:path/>
            <v:fill on="f" focussize="0,0"/>
            <v:stroke on="f" joinstyle="miter"/>
            <v:imagedata r:id="rId1123" o:title=""/>
            <o:lock v:ext="edit" aspectratio="t"/>
            <w10:wrap type="none"/>
            <w10:anchorlock/>
          </v:shape>
          <o:OLEObject Type="Embed" ProgID="Equation.DSMT4" ShapeID="_x0000_i1606" DrawAspect="Content" ObjectID="_1468076306" r:id="rId1122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以外币计价的连续复利的收益率</w:t>
      </w:r>
    </w:p>
    <w:p>
      <w:pPr>
        <w:ind w:firstLine="420" w:firstLineChars="200"/>
        <w:jc w:val="left"/>
      </w:pPr>
      <w:r>
        <w:rPr>
          <w:position w:val="-12"/>
        </w:rPr>
        <w:object>
          <v:shape id="_x0000_i1607" o:spt="75" type="#_x0000_t75" style="height:18.9pt;width:16.35pt;" o:ole="t" filled="f" o:preferrelative="t" stroked="f" coordsize="21600,21600">
            <v:path/>
            <v:fill on="f" focussize="0,0"/>
            <v:stroke on="f" joinstyle="miter"/>
            <v:imagedata r:id="rId1125" o:title=""/>
            <o:lock v:ext="edit" aspectratio="t"/>
            <w10:wrap type="none"/>
            <w10:anchorlock/>
          </v:shape>
          <o:OLEObject Type="Embed" ProgID="Equation.DSMT4" ShapeID="_x0000_i1607" DrawAspect="Content" ObjectID="_1468076307" r:id="rId1124">
            <o:LockedField>false</o:LockedField>
          </o:OLEObject>
        </w:object>
      </w:r>
      <w:r>
        <w:rPr>
          <w:position w:val="-12"/>
        </w:rPr>
        <w:tab/>
      </w:r>
      <w:r>
        <w:rPr>
          <w:position w:val="-12"/>
        </w:rPr>
        <w:tab/>
      </w:r>
      <w:r>
        <w:rPr>
          <w:rFonts w:hint="eastAsia"/>
        </w:rPr>
        <w:t>本币币值的连续复利的相对变化（贬值或升值）</w:t>
      </w:r>
    </w:p>
    <w:p>
      <w:pPr>
        <w:jc w:val="left"/>
      </w:pPr>
    </w:p>
    <w:p>
      <w:pPr>
        <w:pStyle w:val="6"/>
      </w:pPr>
      <w:r>
        <w:rPr>
          <w:rFonts w:hint="eastAsia"/>
        </w:rPr>
        <w:t>连续复利收益率的方差</w:t>
      </w:r>
    </w:p>
    <w:p>
      <w:pPr>
        <w:jc w:val="center"/>
      </w:pPr>
      <w:r>
        <w:rPr>
          <w:position w:val="-14"/>
        </w:rPr>
        <w:object>
          <v:shape id="_x0000_i1608" o:spt="75" type="#_x0000_t75" style="height:21.95pt;width:201.2pt;" o:ole="t" filled="f" o:preferrelative="t" stroked="f" coordsize="21600,21600">
            <v:path/>
            <v:fill on="f" focussize="0,0"/>
            <v:stroke on="f" joinstyle="miter"/>
            <v:imagedata r:id="rId1127" o:title=""/>
            <o:lock v:ext="edit" aspectratio="t"/>
            <w10:wrap type="none"/>
            <w10:anchorlock/>
          </v:shape>
          <o:OLEObject Type="Embed" ProgID="Equation.3" ShapeID="_x0000_i1608" DrawAspect="Content" ObjectID="_1468076308" r:id="rId1126">
            <o:LockedField>false</o:LockedField>
          </o:OLEObject>
        </w:object>
      </w:r>
    </w:p>
    <w:p>
      <w:pPr>
        <w:jc w:val="left"/>
      </w:pPr>
      <w:r>
        <w:rPr>
          <w:rFonts w:hint="eastAsia"/>
        </w:rPr>
        <w:t>此处</w:t>
      </w:r>
    </w:p>
    <w:p>
      <w:pPr>
        <w:ind w:firstLine="420" w:firstLineChars="200"/>
        <w:jc w:val="left"/>
      </w:pPr>
      <w:r>
        <w:rPr>
          <w:position w:val="-10"/>
        </w:rPr>
        <w:object>
          <v:shape id="_x0000_i1609" o:spt="75" type="#_x0000_t75" style="height:16.35pt;width:27.05pt;" o:ole="t" filled="f" o:preferrelative="t" stroked="f" coordsize="21600,21600">
            <v:path/>
            <v:fill on="f" focussize="0,0"/>
            <v:stroke on="f" joinstyle="miter"/>
            <v:imagedata r:id="rId1129" o:title=""/>
            <o:lock v:ext="edit" aspectratio="t"/>
            <w10:wrap type="none"/>
            <w10:anchorlock/>
          </v:shape>
          <o:OLEObject Type="Embed" ProgID="Equation.3" ShapeID="_x0000_i1609" DrawAspect="Content" ObjectID="_1468076309" r:id="rId1128">
            <o:LockedField>false</o:LockedField>
          </o:OLEObject>
        </w:object>
      </w:r>
      <w:r>
        <w:rPr>
          <w:position w:val="-10"/>
        </w:rPr>
        <w:tab/>
      </w:r>
      <w:r>
        <w:rPr>
          <w:rFonts w:hint="eastAsia"/>
        </w:rPr>
        <w:t>方差算子</w:t>
      </w:r>
    </w:p>
    <w:p>
      <w:pPr>
        <w:ind w:firstLine="420" w:firstLineChars="200"/>
        <w:jc w:val="left"/>
      </w:pPr>
      <w:r>
        <w:rPr>
          <w:position w:val="-10"/>
        </w:rPr>
        <w:object>
          <v:shape id="_x0000_i1610" o:spt="75" type="#_x0000_t75" style="height:16.35pt;width:30.15pt;" o:ole="t" filled="f" o:preferrelative="t" stroked="f" coordsize="21600,21600">
            <v:path/>
            <v:fill on="f" focussize="0,0"/>
            <v:stroke on="f" joinstyle="miter"/>
            <v:imagedata r:id="rId1131" o:title=""/>
            <o:lock v:ext="edit" aspectratio="t"/>
            <w10:wrap type="none"/>
            <w10:anchorlock/>
          </v:shape>
          <o:OLEObject Type="Embed" ProgID="Equation.3" ShapeID="_x0000_i1610" DrawAspect="Content" ObjectID="_1468076310" r:id="rId1130">
            <o:LockedField>false</o:LockedField>
          </o:OLEObject>
        </w:object>
      </w:r>
      <w:r>
        <w:rPr>
          <w:position w:val="-10"/>
        </w:rPr>
        <w:tab/>
      </w:r>
      <w:r>
        <w:rPr>
          <w:rFonts w:hint="eastAsia"/>
        </w:rPr>
        <w:t>协方差算子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framePr w:wrap="around" w:vAnchor="text" w:hAnchor="margin" w:xAlign="right" w:y="1"/>
      <w:rPr>
        <w:rStyle w:val="39"/>
      </w:rPr>
    </w:pPr>
    <w:r>
      <w:fldChar w:fldCharType="begin"/>
    </w:r>
    <w:r>
      <w:rPr>
        <w:rStyle w:val="39"/>
      </w:rPr>
      <w:instrText xml:space="preserve">PAGE  </w:instrText>
    </w:r>
    <w:r>
      <w:fldChar w:fldCharType="separate"/>
    </w:r>
    <w:r>
      <w:rPr>
        <w:rStyle w:val="39"/>
      </w:rPr>
      <w:t>6</w:t>
    </w:r>
    <w:r>
      <w:fldChar w:fldCharType="end"/>
    </w:r>
  </w:p>
  <w:p>
    <w:pPr>
      <w:pStyle w:val="2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framePr w:wrap="around" w:vAnchor="text" w:hAnchor="margin" w:xAlign="right" w:y="1"/>
      <w:rPr>
        <w:rStyle w:val="39"/>
      </w:rPr>
    </w:pPr>
    <w:r>
      <w:fldChar w:fldCharType="begin"/>
    </w:r>
    <w:r>
      <w:rPr>
        <w:rStyle w:val="39"/>
      </w:rPr>
      <w:instrText xml:space="preserve">PAGE  </w:instrText>
    </w:r>
    <w:r>
      <w:fldChar w:fldCharType="separate"/>
    </w:r>
    <w:r>
      <w:rPr>
        <w:rStyle w:val="39"/>
      </w:rPr>
      <w:t>49</w:t>
    </w:r>
    <w:r>
      <w:fldChar w:fldCharType="end"/>
    </w:r>
  </w:p>
  <w:p>
    <w:pPr>
      <w:pStyle w:val="2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0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2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22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3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17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1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1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hMTc3NWI2NzNhZDc0MTVlZmIzNjNmYzE2MTQxYjkifQ=="/>
  </w:docVars>
  <w:rsids>
    <w:rsidRoot w:val="00D734E4"/>
    <w:rsid w:val="00014B61"/>
    <w:rsid w:val="0001756C"/>
    <w:rsid w:val="000253D0"/>
    <w:rsid w:val="000260F4"/>
    <w:rsid w:val="000272A0"/>
    <w:rsid w:val="000276BE"/>
    <w:rsid w:val="000300B6"/>
    <w:rsid w:val="0003281A"/>
    <w:rsid w:val="00034BCB"/>
    <w:rsid w:val="00037B24"/>
    <w:rsid w:val="00040226"/>
    <w:rsid w:val="000478C0"/>
    <w:rsid w:val="00063D9C"/>
    <w:rsid w:val="00065CA3"/>
    <w:rsid w:val="000678C0"/>
    <w:rsid w:val="00072299"/>
    <w:rsid w:val="00073BC4"/>
    <w:rsid w:val="00082FA9"/>
    <w:rsid w:val="000860B2"/>
    <w:rsid w:val="00091025"/>
    <w:rsid w:val="00092706"/>
    <w:rsid w:val="00092C7D"/>
    <w:rsid w:val="00094195"/>
    <w:rsid w:val="000962D0"/>
    <w:rsid w:val="000A1C99"/>
    <w:rsid w:val="000A367F"/>
    <w:rsid w:val="000A5731"/>
    <w:rsid w:val="000A6D13"/>
    <w:rsid w:val="000B038C"/>
    <w:rsid w:val="000B0943"/>
    <w:rsid w:val="000B0D1E"/>
    <w:rsid w:val="000B48EC"/>
    <w:rsid w:val="000B550E"/>
    <w:rsid w:val="000C0B56"/>
    <w:rsid w:val="000E1C93"/>
    <w:rsid w:val="000E461C"/>
    <w:rsid w:val="000F2D5C"/>
    <w:rsid w:val="000F4FB1"/>
    <w:rsid w:val="0010323C"/>
    <w:rsid w:val="001073EC"/>
    <w:rsid w:val="00112B29"/>
    <w:rsid w:val="0011333A"/>
    <w:rsid w:val="001142AD"/>
    <w:rsid w:val="00117108"/>
    <w:rsid w:val="001236A4"/>
    <w:rsid w:val="00136011"/>
    <w:rsid w:val="00137F55"/>
    <w:rsid w:val="00143611"/>
    <w:rsid w:val="00144087"/>
    <w:rsid w:val="001444E7"/>
    <w:rsid w:val="00151B05"/>
    <w:rsid w:val="00167309"/>
    <w:rsid w:val="001750FD"/>
    <w:rsid w:val="001805BC"/>
    <w:rsid w:val="00185665"/>
    <w:rsid w:val="001A1A9E"/>
    <w:rsid w:val="001B2DB5"/>
    <w:rsid w:val="001B513A"/>
    <w:rsid w:val="001B6A76"/>
    <w:rsid w:val="001E0AAC"/>
    <w:rsid w:val="001E2422"/>
    <w:rsid w:val="001E6EC1"/>
    <w:rsid w:val="001F7A35"/>
    <w:rsid w:val="00201293"/>
    <w:rsid w:val="002021E4"/>
    <w:rsid w:val="00202D88"/>
    <w:rsid w:val="00207F31"/>
    <w:rsid w:val="00210597"/>
    <w:rsid w:val="00211836"/>
    <w:rsid w:val="0021364D"/>
    <w:rsid w:val="0022093D"/>
    <w:rsid w:val="00222997"/>
    <w:rsid w:val="0023273C"/>
    <w:rsid w:val="00234DCF"/>
    <w:rsid w:val="00235B81"/>
    <w:rsid w:val="00243768"/>
    <w:rsid w:val="00244312"/>
    <w:rsid w:val="0024748F"/>
    <w:rsid w:val="002511E7"/>
    <w:rsid w:val="00253C59"/>
    <w:rsid w:val="002553A0"/>
    <w:rsid w:val="00256FED"/>
    <w:rsid w:val="002620BE"/>
    <w:rsid w:val="00262C47"/>
    <w:rsid w:val="0027210E"/>
    <w:rsid w:val="00273D3E"/>
    <w:rsid w:val="0027588B"/>
    <w:rsid w:val="00275EEE"/>
    <w:rsid w:val="002761B9"/>
    <w:rsid w:val="00277394"/>
    <w:rsid w:val="00281299"/>
    <w:rsid w:val="00284357"/>
    <w:rsid w:val="00285A1A"/>
    <w:rsid w:val="00291CE7"/>
    <w:rsid w:val="00291EAE"/>
    <w:rsid w:val="00293149"/>
    <w:rsid w:val="002970CC"/>
    <w:rsid w:val="002A0F6A"/>
    <w:rsid w:val="002A3B13"/>
    <w:rsid w:val="002A53DD"/>
    <w:rsid w:val="002A557B"/>
    <w:rsid w:val="002A7547"/>
    <w:rsid w:val="002B2090"/>
    <w:rsid w:val="002B2CFC"/>
    <w:rsid w:val="002C02C7"/>
    <w:rsid w:val="002C24BF"/>
    <w:rsid w:val="002C496D"/>
    <w:rsid w:val="002D29FC"/>
    <w:rsid w:val="002D7F40"/>
    <w:rsid w:val="002E425A"/>
    <w:rsid w:val="002E798A"/>
    <w:rsid w:val="002F0BF4"/>
    <w:rsid w:val="002F3B5B"/>
    <w:rsid w:val="002F5515"/>
    <w:rsid w:val="00305F48"/>
    <w:rsid w:val="003075C6"/>
    <w:rsid w:val="00320C8E"/>
    <w:rsid w:val="00322FDD"/>
    <w:rsid w:val="003248E4"/>
    <w:rsid w:val="003258A1"/>
    <w:rsid w:val="003275E6"/>
    <w:rsid w:val="00336337"/>
    <w:rsid w:val="00342D9A"/>
    <w:rsid w:val="00344904"/>
    <w:rsid w:val="00346437"/>
    <w:rsid w:val="0035092B"/>
    <w:rsid w:val="00354C9C"/>
    <w:rsid w:val="00354E1B"/>
    <w:rsid w:val="0036064C"/>
    <w:rsid w:val="00361DCE"/>
    <w:rsid w:val="00367841"/>
    <w:rsid w:val="00371E3E"/>
    <w:rsid w:val="00373485"/>
    <w:rsid w:val="00373582"/>
    <w:rsid w:val="0037490A"/>
    <w:rsid w:val="00376196"/>
    <w:rsid w:val="0038082B"/>
    <w:rsid w:val="00381ACA"/>
    <w:rsid w:val="00384CC6"/>
    <w:rsid w:val="003875FF"/>
    <w:rsid w:val="00393D8A"/>
    <w:rsid w:val="003964C4"/>
    <w:rsid w:val="00397193"/>
    <w:rsid w:val="003A0E81"/>
    <w:rsid w:val="003A1807"/>
    <w:rsid w:val="003A4C39"/>
    <w:rsid w:val="003B09E5"/>
    <w:rsid w:val="003B5CF3"/>
    <w:rsid w:val="003B7EC2"/>
    <w:rsid w:val="003C00EB"/>
    <w:rsid w:val="003D4F35"/>
    <w:rsid w:val="003D7016"/>
    <w:rsid w:val="003E07B9"/>
    <w:rsid w:val="003E5EAB"/>
    <w:rsid w:val="003E65D9"/>
    <w:rsid w:val="003F01EF"/>
    <w:rsid w:val="003F029B"/>
    <w:rsid w:val="003F2D3B"/>
    <w:rsid w:val="003F2DED"/>
    <w:rsid w:val="003F33C0"/>
    <w:rsid w:val="003F72E4"/>
    <w:rsid w:val="003F7666"/>
    <w:rsid w:val="0040384F"/>
    <w:rsid w:val="00407714"/>
    <w:rsid w:val="00431998"/>
    <w:rsid w:val="004344F6"/>
    <w:rsid w:val="00434FAA"/>
    <w:rsid w:val="00435494"/>
    <w:rsid w:val="00444C76"/>
    <w:rsid w:val="004501BC"/>
    <w:rsid w:val="00456154"/>
    <w:rsid w:val="00462037"/>
    <w:rsid w:val="00462BF9"/>
    <w:rsid w:val="00467093"/>
    <w:rsid w:val="004674A0"/>
    <w:rsid w:val="00476871"/>
    <w:rsid w:val="00477715"/>
    <w:rsid w:val="00480776"/>
    <w:rsid w:val="004834DB"/>
    <w:rsid w:val="004856C4"/>
    <w:rsid w:val="00491D37"/>
    <w:rsid w:val="00495BA7"/>
    <w:rsid w:val="00495D16"/>
    <w:rsid w:val="004B2497"/>
    <w:rsid w:val="004B3E28"/>
    <w:rsid w:val="004C403B"/>
    <w:rsid w:val="004C5E4D"/>
    <w:rsid w:val="004C6202"/>
    <w:rsid w:val="004D3260"/>
    <w:rsid w:val="004D5AEC"/>
    <w:rsid w:val="004D7DAB"/>
    <w:rsid w:val="004E251B"/>
    <w:rsid w:val="004E3D69"/>
    <w:rsid w:val="004E62F6"/>
    <w:rsid w:val="004F144F"/>
    <w:rsid w:val="004F46AC"/>
    <w:rsid w:val="00501234"/>
    <w:rsid w:val="00502748"/>
    <w:rsid w:val="005032FE"/>
    <w:rsid w:val="00507C52"/>
    <w:rsid w:val="0051620D"/>
    <w:rsid w:val="00523600"/>
    <w:rsid w:val="00527516"/>
    <w:rsid w:val="005317DA"/>
    <w:rsid w:val="00540E0F"/>
    <w:rsid w:val="00541F6D"/>
    <w:rsid w:val="00544AA4"/>
    <w:rsid w:val="00544D57"/>
    <w:rsid w:val="005515F0"/>
    <w:rsid w:val="005518AB"/>
    <w:rsid w:val="00554F35"/>
    <w:rsid w:val="005609C7"/>
    <w:rsid w:val="00562DB8"/>
    <w:rsid w:val="00564865"/>
    <w:rsid w:val="00575751"/>
    <w:rsid w:val="00575E14"/>
    <w:rsid w:val="005820CE"/>
    <w:rsid w:val="005850F2"/>
    <w:rsid w:val="005A1268"/>
    <w:rsid w:val="005A16F8"/>
    <w:rsid w:val="005A2222"/>
    <w:rsid w:val="005A48B4"/>
    <w:rsid w:val="005B47CB"/>
    <w:rsid w:val="005B5C75"/>
    <w:rsid w:val="005B5D4D"/>
    <w:rsid w:val="005C4488"/>
    <w:rsid w:val="005C55E5"/>
    <w:rsid w:val="005C58E7"/>
    <w:rsid w:val="005D5B12"/>
    <w:rsid w:val="005D5D93"/>
    <w:rsid w:val="005E579A"/>
    <w:rsid w:val="005E68C0"/>
    <w:rsid w:val="00603534"/>
    <w:rsid w:val="0061274C"/>
    <w:rsid w:val="00616437"/>
    <w:rsid w:val="00624F5A"/>
    <w:rsid w:val="00625DB3"/>
    <w:rsid w:val="00646AFF"/>
    <w:rsid w:val="00646ED3"/>
    <w:rsid w:val="00646F4C"/>
    <w:rsid w:val="006521C0"/>
    <w:rsid w:val="006571B5"/>
    <w:rsid w:val="006655A4"/>
    <w:rsid w:val="0067536B"/>
    <w:rsid w:val="00677633"/>
    <w:rsid w:val="00681BAF"/>
    <w:rsid w:val="00682DD0"/>
    <w:rsid w:val="00682DE5"/>
    <w:rsid w:val="006850B1"/>
    <w:rsid w:val="00686929"/>
    <w:rsid w:val="006953B8"/>
    <w:rsid w:val="006A1904"/>
    <w:rsid w:val="006B5550"/>
    <w:rsid w:val="006C02EC"/>
    <w:rsid w:val="006C0D1D"/>
    <w:rsid w:val="006C1E6A"/>
    <w:rsid w:val="006C4EAC"/>
    <w:rsid w:val="006C5111"/>
    <w:rsid w:val="006C651F"/>
    <w:rsid w:val="006C6FD0"/>
    <w:rsid w:val="006C7762"/>
    <w:rsid w:val="006D00AC"/>
    <w:rsid w:val="006D0A6C"/>
    <w:rsid w:val="006D43B1"/>
    <w:rsid w:val="006D7337"/>
    <w:rsid w:val="006E432B"/>
    <w:rsid w:val="006F0576"/>
    <w:rsid w:val="007023C6"/>
    <w:rsid w:val="0070663C"/>
    <w:rsid w:val="00716712"/>
    <w:rsid w:val="00724654"/>
    <w:rsid w:val="00726B17"/>
    <w:rsid w:val="00727633"/>
    <w:rsid w:val="007323A2"/>
    <w:rsid w:val="00740387"/>
    <w:rsid w:val="007420D1"/>
    <w:rsid w:val="00742F02"/>
    <w:rsid w:val="007440CB"/>
    <w:rsid w:val="0074578D"/>
    <w:rsid w:val="00747982"/>
    <w:rsid w:val="00751141"/>
    <w:rsid w:val="0075197F"/>
    <w:rsid w:val="00762DEF"/>
    <w:rsid w:val="007638A6"/>
    <w:rsid w:val="007654FD"/>
    <w:rsid w:val="00765E52"/>
    <w:rsid w:val="0076633E"/>
    <w:rsid w:val="007705FF"/>
    <w:rsid w:val="00775BC4"/>
    <w:rsid w:val="00780676"/>
    <w:rsid w:val="00780D61"/>
    <w:rsid w:val="007867AC"/>
    <w:rsid w:val="007927A6"/>
    <w:rsid w:val="007934D9"/>
    <w:rsid w:val="00794042"/>
    <w:rsid w:val="00795987"/>
    <w:rsid w:val="007A04F5"/>
    <w:rsid w:val="007A1885"/>
    <w:rsid w:val="007A19A0"/>
    <w:rsid w:val="007B01FA"/>
    <w:rsid w:val="007B4803"/>
    <w:rsid w:val="007C0E26"/>
    <w:rsid w:val="007C459A"/>
    <w:rsid w:val="007D1560"/>
    <w:rsid w:val="007D2A61"/>
    <w:rsid w:val="007D362C"/>
    <w:rsid w:val="007D3749"/>
    <w:rsid w:val="007D5D59"/>
    <w:rsid w:val="007E083B"/>
    <w:rsid w:val="007E18C3"/>
    <w:rsid w:val="007E4336"/>
    <w:rsid w:val="007E4663"/>
    <w:rsid w:val="007E673A"/>
    <w:rsid w:val="007F7017"/>
    <w:rsid w:val="00801D69"/>
    <w:rsid w:val="00801FEC"/>
    <w:rsid w:val="00802A8A"/>
    <w:rsid w:val="00802F3D"/>
    <w:rsid w:val="00805061"/>
    <w:rsid w:val="00806BC3"/>
    <w:rsid w:val="0082122A"/>
    <w:rsid w:val="0082304D"/>
    <w:rsid w:val="00834BC4"/>
    <w:rsid w:val="008416F0"/>
    <w:rsid w:val="008430E1"/>
    <w:rsid w:val="00854166"/>
    <w:rsid w:val="00861DCF"/>
    <w:rsid w:val="00871817"/>
    <w:rsid w:val="00881C0A"/>
    <w:rsid w:val="00882E8D"/>
    <w:rsid w:val="008A0E53"/>
    <w:rsid w:val="008A2918"/>
    <w:rsid w:val="008A4058"/>
    <w:rsid w:val="008B2CF6"/>
    <w:rsid w:val="008B6ACF"/>
    <w:rsid w:val="008B6C68"/>
    <w:rsid w:val="008C1C40"/>
    <w:rsid w:val="008C2106"/>
    <w:rsid w:val="008C334D"/>
    <w:rsid w:val="008C352D"/>
    <w:rsid w:val="008C6DC6"/>
    <w:rsid w:val="008D7B8C"/>
    <w:rsid w:val="008E28BC"/>
    <w:rsid w:val="008F246B"/>
    <w:rsid w:val="008F28F4"/>
    <w:rsid w:val="008F44F0"/>
    <w:rsid w:val="00900574"/>
    <w:rsid w:val="0091001A"/>
    <w:rsid w:val="00911783"/>
    <w:rsid w:val="009268D0"/>
    <w:rsid w:val="00934E50"/>
    <w:rsid w:val="0093530C"/>
    <w:rsid w:val="009400F8"/>
    <w:rsid w:val="00943B19"/>
    <w:rsid w:val="00944CF3"/>
    <w:rsid w:val="00955DF9"/>
    <w:rsid w:val="00957327"/>
    <w:rsid w:val="009659F1"/>
    <w:rsid w:val="00966DD7"/>
    <w:rsid w:val="009726E6"/>
    <w:rsid w:val="00973B5B"/>
    <w:rsid w:val="00974634"/>
    <w:rsid w:val="00982C49"/>
    <w:rsid w:val="00990C6E"/>
    <w:rsid w:val="00990E12"/>
    <w:rsid w:val="009A1CFF"/>
    <w:rsid w:val="009A78C8"/>
    <w:rsid w:val="009B0080"/>
    <w:rsid w:val="009B0AE8"/>
    <w:rsid w:val="009B0E0A"/>
    <w:rsid w:val="009B1158"/>
    <w:rsid w:val="009C1894"/>
    <w:rsid w:val="009C2E54"/>
    <w:rsid w:val="009C4176"/>
    <w:rsid w:val="009C4185"/>
    <w:rsid w:val="009C4EDE"/>
    <w:rsid w:val="009D7990"/>
    <w:rsid w:val="009D7C9C"/>
    <w:rsid w:val="009E00BC"/>
    <w:rsid w:val="009E43CE"/>
    <w:rsid w:val="009E646D"/>
    <w:rsid w:val="009E70E1"/>
    <w:rsid w:val="009F0E6A"/>
    <w:rsid w:val="009F2629"/>
    <w:rsid w:val="009F4C9C"/>
    <w:rsid w:val="00A00EE4"/>
    <w:rsid w:val="00A0231C"/>
    <w:rsid w:val="00A041E9"/>
    <w:rsid w:val="00A11C20"/>
    <w:rsid w:val="00A131C5"/>
    <w:rsid w:val="00A1480A"/>
    <w:rsid w:val="00A14D55"/>
    <w:rsid w:val="00A257B5"/>
    <w:rsid w:val="00A25CAE"/>
    <w:rsid w:val="00A34883"/>
    <w:rsid w:val="00A41A26"/>
    <w:rsid w:val="00A4361D"/>
    <w:rsid w:val="00A61A61"/>
    <w:rsid w:val="00A66839"/>
    <w:rsid w:val="00A67A35"/>
    <w:rsid w:val="00A77851"/>
    <w:rsid w:val="00A80453"/>
    <w:rsid w:val="00A80C11"/>
    <w:rsid w:val="00A83459"/>
    <w:rsid w:val="00A834EA"/>
    <w:rsid w:val="00A87B94"/>
    <w:rsid w:val="00A9116D"/>
    <w:rsid w:val="00A9219E"/>
    <w:rsid w:val="00A93F0C"/>
    <w:rsid w:val="00A94E12"/>
    <w:rsid w:val="00A97EF1"/>
    <w:rsid w:val="00AA24F0"/>
    <w:rsid w:val="00AB263A"/>
    <w:rsid w:val="00AB2B31"/>
    <w:rsid w:val="00AB4100"/>
    <w:rsid w:val="00AB57CE"/>
    <w:rsid w:val="00AC056A"/>
    <w:rsid w:val="00AD1127"/>
    <w:rsid w:val="00AE07ED"/>
    <w:rsid w:val="00AE0E52"/>
    <w:rsid w:val="00AE26F7"/>
    <w:rsid w:val="00AF5085"/>
    <w:rsid w:val="00B079ED"/>
    <w:rsid w:val="00B1780C"/>
    <w:rsid w:val="00B20154"/>
    <w:rsid w:val="00B312F8"/>
    <w:rsid w:val="00B37A6E"/>
    <w:rsid w:val="00B44C9E"/>
    <w:rsid w:val="00B45382"/>
    <w:rsid w:val="00B465AD"/>
    <w:rsid w:val="00B71A74"/>
    <w:rsid w:val="00B80B7F"/>
    <w:rsid w:val="00B87DB1"/>
    <w:rsid w:val="00B9116B"/>
    <w:rsid w:val="00B92F78"/>
    <w:rsid w:val="00B94287"/>
    <w:rsid w:val="00B95699"/>
    <w:rsid w:val="00BA12FD"/>
    <w:rsid w:val="00BA2851"/>
    <w:rsid w:val="00BA4C5A"/>
    <w:rsid w:val="00BB0559"/>
    <w:rsid w:val="00BB7BA1"/>
    <w:rsid w:val="00BC0C69"/>
    <w:rsid w:val="00BC294F"/>
    <w:rsid w:val="00BC437D"/>
    <w:rsid w:val="00BD03C3"/>
    <w:rsid w:val="00BD41F4"/>
    <w:rsid w:val="00BD54CC"/>
    <w:rsid w:val="00BD5A10"/>
    <w:rsid w:val="00BD6EAE"/>
    <w:rsid w:val="00BD6FA3"/>
    <w:rsid w:val="00BD70FF"/>
    <w:rsid w:val="00BE20CB"/>
    <w:rsid w:val="00BE2643"/>
    <w:rsid w:val="00BE51AD"/>
    <w:rsid w:val="00BF2E9F"/>
    <w:rsid w:val="00BF41A5"/>
    <w:rsid w:val="00BF55B5"/>
    <w:rsid w:val="00BF6742"/>
    <w:rsid w:val="00C02219"/>
    <w:rsid w:val="00C05365"/>
    <w:rsid w:val="00C06226"/>
    <w:rsid w:val="00C0774F"/>
    <w:rsid w:val="00C11189"/>
    <w:rsid w:val="00C11BC0"/>
    <w:rsid w:val="00C14282"/>
    <w:rsid w:val="00C14E4A"/>
    <w:rsid w:val="00C179E8"/>
    <w:rsid w:val="00C21C96"/>
    <w:rsid w:val="00C30320"/>
    <w:rsid w:val="00C36D34"/>
    <w:rsid w:val="00C37637"/>
    <w:rsid w:val="00C403EE"/>
    <w:rsid w:val="00C43664"/>
    <w:rsid w:val="00C44831"/>
    <w:rsid w:val="00C5042D"/>
    <w:rsid w:val="00C51C58"/>
    <w:rsid w:val="00C63F28"/>
    <w:rsid w:val="00C63FFC"/>
    <w:rsid w:val="00C71A42"/>
    <w:rsid w:val="00C7391D"/>
    <w:rsid w:val="00C743DB"/>
    <w:rsid w:val="00C743F6"/>
    <w:rsid w:val="00C75C7F"/>
    <w:rsid w:val="00C77466"/>
    <w:rsid w:val="00C86668"/>
    <w:rsid w:val="00C86F27"/>
    <w:rsid w:val="00C90A2D"/>
    <w:rsid w:val="00C92835"/>
    <w:rsid w:val="00C94332"/>
    <w:rsid w:val="00C94F60"/>
    <w:rsid w:val="00CA137F"/>
    <w:rsid w:val="00CA4B6A"/>
    <w:rsid w:val="00CB0257"/>
    <w:rsid w:val="00CC0C50"/>
    <w:rsid w:val="00CC0ECC"/>
    <w:rsid w:val="00CC1090"/>
    <w:rsid w:val="00CC22E1"/>
    <w:rsid w:val="00CC2893"/>
    <w:rsid w:val="00CE0B57"/>
    <w:rsid w:val="00CE35D1"/>
    <w:rsid w:val="00CE7682"/>
    <w:rsid w:val="00CF3CA7"/>
    <w:rsid w:val="00D01AB9"/>
    <w:rsid w:val="00D01F29"/>
    <w:rsid w:val="00D02530"/>
    <w:rsid w:val="00D068B0"/>
    <w:rsid w:val="00D1352F"/>
    <w:rsid w:val="00D13B4F"/>
    <w:rsid w:val="00D22348"/>
    <w:rsid w:val="00D32004"/>
    <w:rsid w:val="00D411FB"/>
    <w:rsid w:val="00D43301"/>
    <w:rsid w:val="00D47C78"/>
    <w:rsid w:val="00D502DC"/>
    <w:rsid w:val="00D55FA7"/>
    <w:rsid w:val="00D64752"/>
    <w:rsid w:val="00D66B22"/>
    <w:rsid w:val="00D734E4"/>
    <w:rsid w:val="00D75969"/>
    <w:rsid w:val="00D77B98"/>
    <w:rsid w:val="00D83354"/>
    <w:rsid w:val="00D85A40"/>
    <w:rsid w:val="00D9321B"/>
    <w:rsid w:val="00D960E0"/>
    <w:rsid w:val="00D96E9C"/>
    <w:rsid w:val="00DA15A4"/>
    <w:rsid w:val="00DA2722"/>
    <w:rsid w:val="00DA4F60"/>
    <w:rsid w:val="00DB033C"/>
    <w:rsid w:val="00DB1581"/>
    <w:rsid w:val="00DB2F9E"/>
    <w:rsid w:val="00DB76DE"/>
    <w:rsid w:val="00DB7EB4"/>
    <w:rsid w:val="00DC1AB6"/>
    <w:rsid w:val="00DC2E20"/>
    <w:rsid w:val="00DC44FA"/>
    <w:rsid w:val="00DC4D25"/>
    <w:rsid w:val="00DC4E1D"/>
    <w:rsid w:val="00DC50F5"/>
    <w:rsid w:val="00DC6ADE"/>
    <w:rsid w:val="00DD13C0"/>
    <w:rsid w:val="00DE642B"/>
    <w:rsid w:val="00DE71FA"/>
    <w:rsid w:val="00DF3077"/>
    <w:rsid w:val="00DF4423"/>
    <w:rsid w:val="00DF510F"/>
    <w:rsid w:val="00DF5784"/>
    <w:rsid w:val="00DF5D52"/>
    <w:rsid w:val="00E06659"/>
    <w:rsid w:val="00E14F07"/>
    <w:rsid w:val="00E179B7"/>
    <w:rsid w:val="00E237C6"/>
    <w:rsid w:val="00E31988"/>
    <w:rsid w:val="00E32162"/>
    <w:rsid w:val="00E34449"/>
    <w:rsid w:val="00E347F5"/>
    <w:rsid w:val="00E3492E"/>
    <w:rsid w:val="00E34976"/>
    <w:rsid w:val="00E34C6A"/>
    <w:rsid w:val="00E37023"/>
    <w:rsid w:val="00E372C7"/>
    <w:rsid w:val="00E4617D"/>
    <w:rsid w:val="00E558AB"/>
    <w:rsid w:val="00E61828"/>
    <w:rsid w:val="00E703FD"/>
    <w:rsid w:val="00E7116C"/>
    <w:rsid w:val="00E71BEE"/>
    <w:rsid w:val="00E72586"/>
    <w:rsid w:val="00E73B66"/>
    <w:rsid w:val="00E80335"/>
    <w:rsid w:val="00E82028"/>
    <w:rsid w:val="00E82532"/>
    <w:rsid w:val="00E831C5"/>
    <w:rsid w:val="00E851AC"/>
    <w:rsid w:val="00E85CC2"/>
    <w:rsid w:val="00E85CE4"/>
    <w:rsid w:val="00E91634"/>
    <w:rsid w:val="00E9302B"/>
    <w:rsid w:val="00EA145F"/>
    <w:rsid w:val="00EA2012"/>
    <w:rsid w:val="00EA6731"/>
    <w:rsid w:val="00EB31D8"/>
    <w:rsid w:val="00EB77B6"/>
    <w:rsid w:val="00EC1FCF"/>
    <w:rsid w:val="00EC4D93"/>
    <w:rsid w:val="00EC66BC"/>
    <w:rsid w:val="00EC6E7F"/>
    <w:rsid w:val="00ED6651"/>
    <w:rsid w:val="00EE4D76"/>
    <w:rsid w:val="00EE51AF"/>
    <w:rsid w:val="00EE62A6"/>
    <w:rsid w:val="00EF2B9C"/>
    <w:rsid w:val="00EF3391"/>
    <w:rsid w:val="00EF3A02"/>
    <w:rsid w:val="00EF6E55"/>
    <w:rsid w:val="00F029A1"/>
    <w:rsid w:val="00F062CE"/>
    <w:rsid w:val="00F06A2F"/>
    <w:rsid w:val="00F1063A"/>
    <w:rsid w:val="00F143A3"/>
    <w:rsid w:val="00F2398A"/>
    <w:rsid w:val="00F24B1E"/>
    <w:rsid w:val="00F26981"/>
    <w:rsid w:val="00F312C4"/>
    <w:rsid w:val="00F32085"/>
    <w:rsid w:val="00F32910"/>
    <w:rsid w:val="00F4587E"/>
    <w:rsid w:val="00F50569"/>
    <w:rsid w:val="00F52FFA"/>
    <w:rsid w:val="00F5495A"/>
    <w:rsid w:val="00F5524C"/>
    <w:rsid w:val="00F57CB9"/>
    <w:rsid w:val="00F6260E"/>
    <w:rsid w:val="00F63C8A"/>
    <w:rsid w:val="00F6607B"/>
    <w:rsid w:val="00F6624B"/>
    <w:rsid w:val="00F672BF"/>
    <w:rsid w:val="00F71462"/>
    <w:rsid w:val="00F73187"/>
    <w:rsid w:val="00F7480B"/>
    <w:rsid w:val="00F85159"/>
    <w:rsid w:val="00F869C3"/>
    <w:rsid w:val="00F92BF4"/>
    <w:rsid w:val="00F96002"/>
    <w:rsid w:val="00F961DC"/>
    <w:rsid w:val="00F963B1"/>
    <w:rsid w:val="00F971FD"/>
    <w:rsid w:val="00FA38E4"/>
    <w:rsid w:val="00FA5E93"/>
    <w:rsid w:val="00FB19D3"/>
    <w:rsid w:val="00FB1D2C"/>
    <w:rsid w:val="00FB3310"/>
    <w:rsid w:val="00FB4C74"/>
    <w:rsid w:val="00FB593B"/>
    <w:rsid w:val="00FC33E2"/>
    <w:rsid w:val="00FC3CE1"/>
    <w:rsid w:val="00FD1EDE"/>
    <w:rsid w:val="00FD38D5"/>
    <w:rsid w:val="00FD572E"/>
    <w:rsid w:val="00FD7527"/>
    <w:rsid w:val="00FE2155"/>
    <w:rsid w:val="00FE2B6F"/>
    <w:rsid w:val="00FE2B86"/>
    <w:rsid w:val="00FF16A0"/>
    <w:rsid w:val="00FF3B61"/>
    <w:rsid w:val="00FF41F2"/>
    <w:rsid w:val="00FF44AB"/>
    <w:rsid w:val="00FF7548"/>
    <w:rsid w:val="04135BB7"/>
    <w:rsid w:val="05557D77"/>
    <w:rsid w:val="06993C9B"/>
    <w:rsid w:val="06AE0306"/>
    <w:rsid w:val="074F5032"/>
    <w:rsid w:val="098D6A11"/>
    <w:rsid w:val="0E9A4325"/>
    <w:rsid w:val="14D15054"/>
    <w:rsid w:val="15894605"/>
    <w:rsid w:val="16AB0630"/>
    <w:rsid w:val="1E460604"/>
    <w:rsid w:val="1E533153"/>
    <w:rsid w:val="20CD4FA8"/>
    <w:rsid w:val="2BCE4EE6"/>
    <w:rsid w:val="2E330409"/>
    <w:rsid w:val="32B06094"/>
    <w:rsid w:val="33DC5A0D"/>
    <w:rsid w:val="34E16DDD"/>
    <w:rsid w:val="38D05080"/>
    <w:rsid w:val="3C845088"/>
    <w:rsid w:val="3F4D74B4"/>
    <w:rsid w:val="42BD71A2"/>
    <w:rsid w:val="439C027F"/>
    <w:rsid w:val="45B07365"/>
    <w:rsid w:val="48037368"/>
    <w:rsid w:val="49F64C2A"/>
    <w:rsid w:val="4AEB750A"/>
    <w:rsid w:val="4EEA2114"/>
    <w:rsid w:val="4FD201B0"/>
    <w:rsid w:val="51167BAE"/>
    <w:rsid w:val="5163156D"/>
    <w:rsid w:val="59544668"/>
    <w:rsid w:val="5AA628F7"/>
    <w:rsid w:val="5CC90C22"/>
    <w:rsid w:val="5DE64EA1"/>
    <w:rsid w:val="616F6363"/>
    <w:rsid w:val="624D1683"/>
    <w:rsid w:val="63742477"/>
    <w:rsid w:val="677E201D"/>
    <w:rsid w:val="69476A6B"/>
    <w:rsid w:val="69F62BCA"/>
    <w:rsid w:val="6B2F7D93"/>
    <w:rsid w:val="6C8F55DE"/>
    <w:rsid w:val="6E150292"/>
    <w:rsid w:val="70C25EFC"/>
    <w:rsid w:val="7347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nhideWhenUsed="0" w:uiPriority="0" w:semiHidden="0" w:name="List Bullet"/>
    <w:lsdException w:qFormat="1"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4"/>
    <w:autoRedefine/>
    <w:qFormat/>
    <w:uiPriority w:val="0"/>
    <w:pPr>
      <w:keepNext/>
      <w:widowControl/>
      <w:spacing w:before="240" w:after="60"/>
      <w:jc w:val="left"/>
      <w:outlineLvl w:val="1"/>
    </w:pPr>
    <w:rPr>
      <w:rFonts w:ascii="Times" w:hAnsi="Times" w:cs="Arial"/>
      <w:b/>
      <w:bCs/>
      <w:iCs/>
      <w:kern w:val="0"/>
      <w:sz w:val="24"/>
      <w:szCs w:val="28"/>
      <w:lang w:eastAsia="en-US"/>
    </w:rPr>
  </w:style>
  <w:style w:type="paragraph" w:styleId="4">
    <w:name w:val="heading 3"/>
    <w:basedOn w:val="1"/>
    <w:next w:val="1"/>
    <w:link w:val="45"/>
    <w:qFormat/>
    <w:uiPriority w:val="0"/>
    <w:pPr>
      <w:keepNext/>
      <w:widowControl/>
      <w:spacing w:before="240" w:after="60"/>
      <w:jc w:val="left"/>
      <w:outlineLvl w:val="2"/>
    </w:pPr>
    <w:rPr>
      <w:rFonts w:ascii="Times" w:hAnsi="Times" w:cs="Arial"/>
      <w:b/>
      <w:bCs/>
      <w:kern w:val="0"/>
      <w:sz w:val="24"/>
      <w:szCs w:val="26"/>
      <w:lang w:eastAsia="en-US"/>
    </w:rPr>
  </w:style>
  <w:style w:type="paragraph" w:styleId="5">
    <w:name w:val="heading 4"/>
    <w:basedOn w:val="1"/>
    <w:next w:val="1"/>
    <w:link w:val="46"/>
    <w:qFormat/>
    <w:uiPriority w:val="0"/>
    <w:pPr>
      <w:keepNext/>
      <w:widowControl/>
      <w:spacing w:before="240" w:after="60"/>
      <w:jc w:val="left"/>
      <w:outlineLvl w:val="3"/>
    </w:pPr>
    <w:rPr>
      <w:rFonts w:ascii="Times" w:hAnsi="Times"/>
      <w:b/>
      <w:bCs/>
      <w:kern w:val="0"/>
      <w:sz w:val="24"/>
      <w:szCs w:val="28"/>
      <w:lang w:eastAsia="en-US"/>
    </w:rPr>
  </w:style>
  <w:style w:type="paragraph" w:styleId="6">
    <w:name w:val="heading 5"/>
    <w:basedOn w:val="1"/>
    <w:next w:val="1"/>
    <w:link w:val="47"/>
    <w:autoRedefine/>
    <w:qFormat/>
    <w:uiPriority w:val="0"/>
    <w:pPr>
      <w:widowControl/>
      <w:spacing w:before="240" w:after="60"/>
      <w:jc w:val="left"/>
      <w:outlineLvl w:val="4"/>
    </w:pPr>
    <w:rPr>
      <w:rFonts w:ascii="Times" w:hAnsi="Times"/>
      <w:b/>
      <w:bCs/>
      <w:iCs/>
      <w:kern w:val="0"/>
      <w:szCs w:val="26"/>
    </w:rPr>
  </w:style>
  <w:style w:type="paragraph" w:styleId="7">
    <w:name w:val="heading 6"/>
    <w:basedOn w:val="1"/>
    <w:next w:val="1"/>
    <w:link w:val="48"/>
    <w:autoRedefine/>
    <w:qFormat/>
    <w:uiPriority w:val="0"/>
    <w:pPr>
      <w:widowControl/>
      <w:spacing w:before="240" w:after="60"/>
      <w:jc w:val="left"/>
      <w:outlineLvl w:val="5"/>
    </w:pPr>
    <w:rPr>
      <w:rFonts w:ascii="Times" w:hAnsi="Times"/>
      <w:b/>
      <w:bCs/>
      <w:kern w:val="0"/>
      <w:szCs w:val="22"/>
      <w:lang w:eastAsia="en-US"/>
    </w:rPr>
  </w:style>
  <w:style w:type="paragraph" w:styleId="8">
    <w:name w:val="heading 7"/>
    <w:basedOn w:val="1"/>
    <w:next w:val="1"/>
    <w:link w:val="49"/>
    <w:qFormat/>
    <w:uiPriority w:val="0"/>
    <w:pPr>
      <w:widowControl/>
      <w:spacing w:before="240" w:after="60"/>
      <w:outlineLvl w:val="6"/>
    </w:pPr>
    <w:rPr>
      <w:rFonts w:ascii="Arial" w:hAnsi="Arial"/>
      <w:kern w:val="0"/>
      <w:sz w:val="20"/>
      <w:szCs w:val="20"/>
      <w:lang w:val="en-GB" w:eastAsia="en-US"/>
    </w:rPr>
  </w:style>
  <w:style w:type="paragraph" w:styleId="9">
    <w:name w:val="heading 8"/>
    <w:basedOn w:val="1"/>
    <w:next w:val="1"/>
    <w:link w:val="50"/>
    <w:qFormat/>
    <w:uiPriority w:val="0"/>
    <w:pPr>
      <w:widowControl/>
      <w:spacing w:before="240" w:after="60"/>
      <w:outlineLvl w:val="7"/>
    </w:pPr>
    <w:rPr>
      <w:rFonts w:ascii="Arial" w:hAnsi="Arial"/>
      <w:i/>
      <w:kern w:val="0"/>
      <w:sz w:val="20"/>
      <w:szCs w:val="20"/>
      <w:lang w:val="en-GB" w:eastAsia="en-US"/>
    </w:rPr>
  </w:style>
  <w:style w:type="paragraph" w:styleId="10">
    <w:name w:val="heading 9"/>
    <w:basedOn w:val="1"/>
    <w:next w:val="1"/>
    <w:link w:val="51"/>
    <w:autoRedefine/>
    <w:qFormat/>
    <w:uiPriority w:val="0"/>
    <w:pPr>
      <w:widowControl/>
      <w:spacing w:before="240" w:after="60"/>
      <w:outlineLvl w:val="8"/>
    </w:pPr>
    <w:rPr>
      <w:rFonts w:ascii="Arial" w:hAnsi="Arial"/>
      <w:b/>
      <w:i/>
      <w:kern w:val="0"/>
      <w:sz w:val="18"/>
      <w:szCs w:val="20"/>
      <w:lang w:val="en-GB" w:eastAsia="en-US"/>
    </w:rPr>
  </w:style>
  <w:style w:type="character" w:default="1" w:styleId="38">
    <w:name w:val="Default Paragraph Font"/>
    <w:autoRedefine/>
    <w:unhideWhenUsed/>
    <w:qFormat/>
    <w:uiPriority w:val="1"/>
  </w:style>
  <w:style w:type="table" w:default="1" w:styleId="3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List Number 2"/>
    <w:basedOn w:val="1"/>
    <w:autoRedefine/>
    <w:qFormat/>
    <w:uiPriority w:val="0"/>
    <w:pPr>
      <w:widowControl/>
      <w:numPr>
        <w:ilvl w:val="0"/>
        <w:numId w:val="1"/>
      </w:numPr>
      <w:tabs>
        <w:tab w:val="left" w:pos="643"/>
        <w:tab w:val="clear" w:pos="780"/>
      </w:tabs>
      <w:spacing w:after="120"/>
      <w:ind w:left="643" w:firstLine="0"/>
    </w:pPr>
    <w:rPr>
      <w:kern w:val="0"/>
      <w:sz w:val="24"/>
      <w:szCs w:val="20"/>
      <w:lang w:val="en-GB" w:eastAsia="en-US"/>
    </w:rPr>
  </w:style>
  <w:style w:type="paragraph" w:styleId="13">
    <w:name w:val="List Bullet 4"/>
    <w:basedOn w:val="1"/>
    <w:autoRedefine/>
    <w:qFormat/>
    <w:uiPriority w:val="0"/>
    <w:pPr>
      <w:widowControl/>
      <w:numPr>
        <w:ilvl w:val="0"/>
        <w:numId w:val="2"/>
      </w:numPr>
      <w:tabs>
        <w:tab w:val="left" w:pos="1209"/>
        <w:tab w:val="clear" w:pos="1620"/>
      </w:tabs>
      <w:spacing w:after="120"/>
      <w:ind w:left="1209" w:firstLine="0"/>
    </w:pPr>
    <w:rPr>
      <w:kern w:val="0"/>
      <w:sz w:val="24"/>
      <w:szCs w:val="20"/>
      <w:lang w:val="en-GB" w:eastAsia="en-US"/>
    </w:rPr>
  </w:style>
  <w:style w:type="paragraph" w:styleId="14">
    <w:name w:val="List Number"/>
    <w:basedOn w:val="1"/>
    <w:qFormat/>
    <w:uiPriority w:val="0"/>
    <w:pPr>
      <w:widowControl/>
      <w:numPr>
        <w:ilvl w:val="0"/>
        <w:numId w:val="3"/>
      </w:numPr>
      <w:spacing w:after="120"/>
      <w:ind w:firstLine="0"/>
    </w:pPr>
    <w:rPr>
      <w:kern w:val="0"/>
      <w:sz w:val="24"/>
      <w:szCs w:val="20"/>
      <w:lang w:val="en-GB" w:eastAsia="en-US"/>
    </w:rPr>
  </w:style>
  <w:style w:type="paragraph" w:styleId="15">
    <w:name w:val="List Bullet"/>
    <w:basedOn w:val="1"/>
    <w:qFormat/>
    <w:uiPriority w:val="0"/>
    <w:pPr>
      <w:widowControl/>
      <w:numPr>
        <w:ilvl w:val="0"/>
        <w:numId w:val="4"/>
      </w:numPr>
      <w:spacing w:after="120"/>
      <w:ind w:firstLine="0"/>
    </w:pPr>
    <w:rPr>
      <w:kern w:val="0"/>
      <w:sz w:val="24"/>
      <w:szCs w:val="20"/>
      <w:lang w:val="en-GB" w:eastAsia="en-US"/>
    </w:rPr>
  </w:style>
  <w:style w:type="paragraph" w:styleId="16">
    <w:name w:val="annotation text"/>
    <w:basedOn w:val="1"/>
    <w:link w:val="52"/>
    <w:autoRedefine/>
    <w:qFormat/>
    <w:uiPriority w:val="0"/>
    <w:pPr>
      <w:jc w:val="left"/>
    </w:pPr>
  </w:style>
  <w:style w:type="paragraph" w:styleId="17">
    <w:name w:val="List Bullet 3"/>
    <w:basedOn w:val="1"/>
    <w:qFormat/>
    <w:uiPriority w:val="0"/>
    <w:pPr>
      <w:widowControl/>
      <w:numPr>
        <w:ilvl w:val="0"/>
        <w:numId w:val="5"/>
      </w:numPr>
      <w:tabs>
        <w:tab w:val="left" w:pos="926"/>
        <w:tab w:val="clear" w:pos="1200"/>
      </w:tabs>
      <w:spacing w:after="120"/>
      <w:ind w:left="926" w:firstLine="0"/>
    </w:pPr>
    <w:rPr>
      <w:kern w:val="0"/>
      <w:sz w:val="24"/>
      <w:szCs w:val="20"/>
      <w:lang w:val="en-GB" w:eastAsia="en-US"/>
    </w:rPr>
  </w:style>
  <w:style w:type="paragraph" w:styleId="18">
    <w:name w:val="List Number 3"/>
    <w:basedOn w:val="1"/>
    <w:autoRedefine/>
    <w:qFormat/>
    <w:uiPriority w:val="0"/>
    <w:pPr>
      <w:widowControl/>
      <w:numPr>
        <w:ilvl w:val="0"/>
        <w:numId w:val="6"/>
      </w:numPr>
      <w:tabs>
        <w:tab w:val="left" w:pos="926"/>
        <w:tab w:val="clear" w:pos="1200"/>
      </w:tabs>
      <w:spacing w:after="120"/>
      <w:ind w:left="926" w:firstLine="0"/>
    </w:pPr>
    <w:rPr>
      <w:kern w:val="0"/>
      <w:sz w:val="24"/>
      <w:szCs w:val="20"/>
      <w:lang w:val="en-GB" w:eastAsia="en-US"/>
    </w:rPr>
  </w:style>
  <w:style w:type="paragraph" w:styleId="19">
    <w:name w:val="List Bullet 2"/>
    <w:basedOn w:val="1"/>
    <w:autoRedefine/>
    <w:qFormat/>
    <w:uiPriority w:val="0"/>
    <w:pPr>
      <w:widowControl/>
      <w:numPr>
        <w:ilvl w:val="0"/>
        <w:numId w:val="7"/>
      </w:numPr>
      <w:tabs>
        <w:tab w:val="left" w:pos="643"/>
        <w:tab w:val="clear" w:pos="780"/>
      </w:tabs>
      <w:spacing w:after="120"/>
      <w:ind w:left="643" w:firstLine="0"/>
    </w:pPr>
    <w:rPr>
      <w:kern w:val="0"/>
      <w:sz w:val="24"/>
      <w:szCs w:val="20"/>
      <w:lang w:val="en-GB" w:eastAsia="en-US"/>
    </w:rPr>
  </w:style>
  <w:style w:type="paragraph" w:styleId="20">
    <w:name w:val="toc 5"/>
    <w:basedOn w:val="1"/>
    <w:next w:val="1"/>
    <w:qFormat/>
    <w:uiPriority w:val="0"/>
    <w:pPr>
      <w:ind w:left="1680" w:leftChars="800"/>
    </w:pPr>
  </w:style>
  <w:style w:type="paragraph" w:styleId="21">
    <w:name w:val="toc 3"/>
    <w:basedOn w:val="1"/>
    <w:next w:val="1"/>
    <w:qFormat/>
    <w:uiPriority w:val="39"/>
    <w:pPr>
      <w:ind w:left="840" w:leftChars="400"/>
    </w:pPr>
  </w:style>
  <w:style w:type="paragraph" w:styleId="22">
    <w:name w:val="List Bullet 5"/>
    <w:basedOn w:val="1"/>
    <w:autoRedefine/>
    <w:qFormat/>
    <w:uiPriority w:val="0"/>
    <w:pPr>
      <w:widowControl/>
      <w:numPr>
        <w:ilvl w:val="0"/>
        <w:numId w:val="8"/>
      </w:numPr>
      <w:tabs>
        <w:tab w:val="left" w:pos="1492"/>
        <w:tab w:val="clear" w:pos="2040"/>
      </w:tabs>
      <w:spacing w:after="120"/>
      <w:ind w:left="1492" w:firstLine="0"/>
    </w:pPr>
    <w:rPr>
      <w:kern w:val="0"/>
      <w:sz w:val="24"/>
      <w:szCs w:val="20"/>
      <w:lang w:val="en-GB" w:eastAsia="en-US"/>
    </w:rPr>
  </w:style>
  <w:style w:type="paragraph" w:styleId="23">
    <w:name w:val="List Number 4"/>
    <w:basedOn w:val="1"/>
    <w:qFormat/>
    <w:uiPriority w:val="0"/>
    <w:pPr>
      <w:widowControl/>
      <w:numPr>
        <w:ilvl w:val="0"/>
        <w:numId w:val="9"/>
      </w:numPr>
      <w:tabs>
        <w:tab w:val="left" w:pos="1209"/>
        <w:tab w:val="clear" w:pos="1620"/>
      </w:tabs>
      <w:spacing w:after="120"/>
      <w:ind w:left="1209" w:firstLine="0"/>
    </w:pPr>
    <w:rPr>
      <w:kern w:val="0"/>
      <w:sz w:val="24"/>
      <w:szCs w:val="20"/>
      <w:lang w:val="en-GB" w:eastAsia="en-US"/>
    </w:rPr>
  </w:style>
  <w:style w:type="paragraph" w:styleId="24">
    <w:name w:val="toc 8"/>
    <w:basedOn w:val="1"/>
    <w:next w:val="1"/>
    <w:autoRedefine/>
    <w:qFormat/>
    <w:uiPriority w:val="0"/>
    <w:pPr>
      <w:ind w:left="2940" w:leftChars="1400"/>
    </w:pPr>
  </w:style>
  <w:style w:type="paragraph" w:styleId="25">
    <w:name w:val="Balloon Text"/>
    <w:basedOn w:val="1"/>
    <w:link w:val="53"/>
    <w:autoRedefine/>
    <w:qFormat/>
    <w:uiPriority w:val="0"/>
    <w:rPr>
      <w:sz w:val="18"/>
      <w:szCs w:val="18"/>
    </w:rPr>
  </w:style>
  <w:style w:type="paragraph" w:styleId="26">
    <w:name w:val="footer"/>
    <w:basedOn w:val="1"/>
    <w:link w:val="5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5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</w:style>
  <w:style w:type="paragraph" w:styleId="29">
    <w:name w:val="toc 4"/>
    <w:basedOn w:val="1"/>
    <w:next w:val="1"/>
    <w:autoRedefine/>
    <w:qFormat/>
    <w:uiPriority w:val="0"/>
    <w:pPr>
      <w:ind w:left="1260" w:leftChars="600"/>
    </w:pPr>
  </w:style>
  <w:style w:type="paragraph" w:styleId="30">
    <w:name w:val="List Number 5"/>
    <w:basedOn w:val="1"/>
    <w:autoRedefine/>
    <w:qFormat/>
    <w:uiPriority w:val="0"/>
    <w:pPr>
      <w:widowControl/>
      <w:numPr>
        <w:ilvl w:val="0"/>
        <w:numId w:val="10"/>
      </w:numPr>
      <w:tabs>
        <w:tab w:val="left" w:pos="1492"/>
        <w:tab w:val="clear" w:pos="2040"/>
      </w:tabs>
      <w:spacing w:after="120"/>
      <w:ind w:left="1492" w:firstLine="0"/>
    </w:pPr>
    <w:rPr>
      <w:kern w:val="0"/>
      <w:sz w:val="24"/>
      <w:szCs w:val="20"/>
      <w:lang w:val="en-GB" w:eastAsia="en-US"/>
    </w:rPr>
  </w:style>
  <w:style w:type="paragraph" w:styleId="31">
    <w:name w:val="footnote text"/>
    <w:basedOn w:val="1"/>
    <w:link w:val="56"/>
    <w:qFormat/>
    <w:uiPriority w:val="0"/>
    <w:pPr>
      <w:snapToGrid w:val="0"/>
      <w:jc w:val="left"/>
    </w:pPr>
    <w:rPr>
      <w:sz w:val="18"/>
      <w:szCs w:val="18"/>
    </w:rPr>
  </w:style>
  <w:style w:type="paragraph" w:styleId="32">
    <w:name w:val="toc 6"/>
    <w:basedOn w:val="1"/>
    <w:next w:val="1"/>
    <w:autoRedefine/>
    <w:qFormat/>
    <w:uiPriority w:val="0"/>
    <w:pPr>
      <w:ind w:left="2100" w:leftChars="1000"/>
    </w:pPr>
  </w:style>
  <w:style w:type="paragraph" w:styleId="33">
    <w:name w:val="toc 2"/>
    <w:basedOn w:val="1"/>
    <w:next w:val="1"/>
    <w:autoRedefine/>
    <w:qFormat/>
    <w:uiPriority w:val="39"/>
    <w:pPr>
      <w:ind w:left="420" w:leftChars="200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annotation subject"/>
    <w:basedOn w:val="16"/>
    <w:next w:val="16"/>
    <w:link w:val="57"/>
    <w:autoRedefine/>
    <w:qFormat/>
    <w:uiPriority w:val="0"/>
    <w:rPr>
      <w:b/>
      <w:bCs/>
    </w:rPr>
  </w:style>
  <w:style w:type="table" w:styleId="37">
    <w:name w:val="Table Grid"/>
    <w:basedOn w:val="3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page number"/>
    <w:autoRedefine/>
    <w:qFormat/>
    <w:uiPriority w:val="0"/>
  </w:style>
  <w:style w:type="character" w:styleId="40">
    <w:name w:val="Hyperlink"/>
    <w:autoRedefine/>
    <w:qFormat/>
    <w:uiPriority w:val="99"/>
    <w:rPr>
      <w:color w:val="0000FF"/>
      <w:u w:val="single"/>
    </w:rPr>
  </w:style>
  <w:style w:type="character" w:styleId="41">
    <w:name w:val="annotation reference"/>
    <w:autoRedefine/>
    <w:qFormat/>
    <w:uiPriority w:val="0"/>
    <w:rPr>
      <w:sz w:val="21"/>
      <w:szCs w:val="21"/>
    </w:rPr>
  </w:style>
  <w:style w:type="character" w:styleId="42">
    <w:name w:val="footnote reference"/>
    <w:autoRedefine/>
    <w:qFormat/>
    <w:uiPriority w:val="0"/>
    <w:rPr>
      <w:vertAlign w:val="superscript"/>
    </w:rPr>
  </w:style>
  <w:style w:type="character" w:customStyle="1" w:styleId="43">
    <w:name w:val="标题 1 字符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44">
    <w:name w:val="标题 2 字符"/>
    <w:link w:val="3"/>
    <w:autoRedefine/>
    <w:qFormat/>
    <w:uiPriority w:val="0"/>
    <w:rPr>
      <w:rFonts w:ascii="Times" w:hAnsi="Times" w:cs="Arial"/>
      <w:b/>
      <w:bCs/>
      <w:iCs/>
      <w:sz w:val="24"/>
      <w:szCs w:val="28"/>
      <w:lang w:eastAsia="en-US"/>
    </w:rPr>
  </w:style>
  <w:style w:type="character" w:customStyle="1" w:styleId="45">
    <w:name w:val="标题 3 字符"/>
    <w:link w:val="4"/>
    <w:autoRedefine/>
    <w:qFormat/>
    <w:uiPriority w:val="0"/>
    <w:rPr>
      <w:rFonts w:ascii="Times" w:hAnsi="Times" w:cs="Arial"/>
      <w:b/>
      <w:bCs/>
      <w:sz w:val="24"/>
      <w:szCs w:val="26"/>
      <w:lang w:eastAsia="en-US"/>
    </w:rPr>
  </w:style>
  <w:style w:type="character" w:customStyle="1" w:styleId="46">
    <w:name w:val="标题 4 字符"/>
    <w:link w:val="5"/>
    <w:autoRedefine/>
    <w:qFormat/>
    <w:uiPriority w:val="0"/>
    <w:rPr>
      <w:rFonts w:ascii="Times" w:hAnsi="Times"/>
      <w:b/>
      <w:bCs/>
      <w:sz w:val="24"/>
      <w:szCs w:val="28"/>
      <w:lang w:eastAsia="en-US"/>
    </w:rPr>
  </w:style>
  <w:style w:type="character" w:customStyle="1" w:styleId="47">
    <w:name w:val="标题 5 字符"/>
    <w:link w:val="6"/>
    <w:autoRedefine/>
    <w:qFormat/>
    <w:uiPriority w:val="0"/>
    <w:rPr>
      <w:rFonts w:ascii="Times" w:hAnsi="Times"/>
      <w:b/>
      <w:bCs/>
      <w:iCs/>
      <w:sz w:val="21"/>
      <w:szCs w:val="26"/>
    </w:rPr>
  </w:style>
  <w:style w:type="character" w:customStyle="1" w:styleId="48">
    <w:name w:val="标题 6 字符"/>
    <w:link w:val="7"/>
    <w:qFormat/>
    <w:uiPriority w:val="0"/>
    <w:rPr>
      <w:rFonts w:ascii="Times" w:hAnsi="Times"/>
      <w:b/>
      <w:bCs/>
      <w:sz w:val="21"/>
      <w:szCs w:val="22"/>
      <w:lang w:eastAsia="en-US"/>
    </w:rPr>
  </w:style>
  <w:style w:type="character" w:customStyle="1" w:styleId="49">
    <w:name w:val="标题 7 字符"/>
    <w:link w:val="8"/>
    <w:uiPriority w:val="0"/>
    <w:rPr>
      <w:rFonts w:ascii="Arial" w:hAnsi="Arial"/>
      <w:lang w:val="en-GB" w:eastAsia="en-US"/>
    </w:rPr>
  </w:style>
  <w:style w:type="character" w:customStyle="1" w:styleId="50">
    <w:name w:val="标题 8 字符"/>
    <w:link w:val="9"/>
    <w:autoRedefine/>
    <w:qFormat/>
    <w:uiPriority w:val="0"/>
    <w:rPr>
      <w:rFonts w:ascii="Arial" w:hAnsi="Arial"/>
      <w:i/>
      <w:lang w:val="en-GB" w:eastAsia="en-US"/>
    </w:rPr>
  </w:style>
  <w:style w:type="character" w:customStyle="1" w:styleId="51">
    <w:name w:val="标题 9 字符"/>
    <w:link w:val="10"/>
    <w:autoRedefine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52">
    <w:name w:val="批注文字 字符"/>
    <w:link w:val="16"/>
    <w:autoRedefine/>
    <w:qFormat/>
    <w:uiPriority w:val="0"/>
    <w:rPr>
      <w:kern w:val="2"/>
      <w:sz w:val="21"/>
      <w:szCs w:val="24"/>
    </w:rPr>
  </w:style>
  <w:style w:type="character" w:customStyle="1" w:styleId="53">
    <w:name w:val="批注框文本 字符"/>
    <w:link w:val="25"/>
    <w:autoRedefine/>
    <w:qFormat/>
    <w:uiPriority w:val="0"/>
    <w:rPr>
      <w:kern w:val="2"/>
      <w:sz w:val="18"/>
      <w:szCs w:val="18"/>
    </w:rPr>
  </w:style>
  <w:style w:type="character" w:customStyle="1" w:styleId="54">
    <w:name w:val="页脚 字符"/>
    <w:link w:val="26"/>
    <w:autoRedefine/>
    <w:qFormat/>
    <w:uiPriority w:val="99"/>
    <w:rPr>
      <w:kern w:val="2"/>
      <w:sz w:val="18"/>
      <w:szCs w:val="18"/>
    </w:rPr>
  </w:style>
  <w:style w:type="character" w:customStyle="1" w:styleId="55">
    <w:name w:val="页眉 字符"/>
    <w:link w:val="27"/>
    <w:autoRedefine/>
    <w:qFormat/>
    <w:uiPriority w:val="0"/>
    <w:rPr>
      <w:kern w:val="2"/>
      <w:sz w:val="18"/>
      <w:szCs w:val="18"/>
    </w:rPr>
  </w:style>
  <w:style w:type="character" w:customStyle="1" w:styleId="56">
    <w:name w:val="脚注文本 字符"/>
    <w:link w:val="31"/>
    <w:autoRedefine/>
    <w:qFormat/>
    <w:uiPriority w:val="0"/>
    <w:rPr>
      <w:kern w:val="2"/>
      <w:sz w:val="18"/>
      <w:szCs w:val="18"/>
    </w:rPr>
  </w:style>
  <w:style w:type="character" w:customStyle="1" w:styleId="57">
    <w:name w:val="批注主题 字符"/>
    <w:link w:val="35"/>
    <w:qFormat/>
    <w:uiPriority w:val="0"/>
    <w:rPr>
      <w:b/>
      <w:bCs/>
      <w:kern w:val="2"/>
      <w:sz w:val="21"/>
      <w:szCs w:val="24"/>
    </w:rPr>
  </w:style>
  <w:style w:type="character" w:styleId="58">
    <w:name w:val="Placeholder Text"/>
    <w:autoRedefine/>
    <w:semiHidden/>
    <w:qFormat/>
    <w:uiPriority w:val="99"/>
    <w:rPr>
      <w:color w:val="808080"/>
    </w:rPr>
  </w:style>
  <w:style w:type="paragraph" w:customStyle="1" w:styleId="59">
    <w:name w:val="Table"/>
    <w:basedOn w:val="1"/>
    <w:qFormat/>
    <w:uiPriority w:val="0"/>
    <w:pPr>
      <w:widowControl/>
      <w:spacing w:before="60" w:after="60"/>
      <w:jc w:val="left"/>
    </w:pPr>
    <w:rPr>
      <w:kern w:val="0"/>
      <w:sz w:val="24"/>
      <w:szCs w:val="20"/>
      <w:lang w:val="en-GB" w:eastAsia="en-US"/>
    </w:rPr>
  </w:style>
  <w:style w:type="paragraph" w:customStyle="1" w:styleId="60">
    <w:name w:val="formule"/>
    <w:basedOn w:val="1"/>
    <w:autoRedefine/>
    <w:uiPriority w:val="0"/>
    <w:pPr>
      <w:widowControl/>
      <w:tabs>
        <w:tab w:val="center" w:pos="4536"/>
        <w:tab w:val="left" w:pos="7938"/>
        <w:tab w:val="left" w:pos="9072"/>
      </w:tabs>
      <w:spacing w:before="240" w:after="240" w:line="480" w:lineRule="atLeast"/>
    </w:pPr>
    <w:rPr>
      <w:kern w:val="0"/>
      <w:sz w:val="24"/>
      <w:szCs w:val="20"/>
      <w:lang w:val="en-GB" w:eastAsia="en-US"/>
    </w:rPr>
  </w:style>
  <w:style w:type="paragraph" w:customStyle="1" w:styleId="61">
    <w:name w:val="formule2"/>
    <w:basedOn w:val="60"/>
    <w:autoRedefine/>
    <w:qFormat/>
    <w:uiPriority w:val="0"/>
    <w:pPr>
      <w:tabs>
        <w:tab w:val="left" w:pos="2268"/>
        <w:tab w:val="clear" w:pos="4536"/>
        <w:tab w:val="clear" w:pos="7938"/>
        <w:tab w:val="clear" w:pos="9072"/>
      </w:tabs>
      <w:spacing w:before="0" w:after="0" w:line="240" w:lineRule="auto"/>
      <w:ind w:left="2268" w:hanging="1701"/>
    </w:pPr>
  </w:style>
  <w:style w:type="paragraph" w:customStyle="1" w:styleId="62">
    <w:name w:val="Equation"/>
    <w:basedOn w:val="1"/>
    <w:qFormat/>
    <w:uiPriority w:val="0"/>
    <w:pPr>
      <w:widowControl/>
      <w:spacing w:before="120" w:after="240"/>
      <w:jc w:val="center"/>
    </w:pPr>
    <w:rPr>
      <w:kern w:val="0"/>
      <w:sz w:val="24"/>
      <w:szCs w:val="20"/>
      <w:lang w:val="en-GB" w:eastAsia="en-US"/>
    </w:rPr>
  </w:style>
  <w:style w:type="paragraph" w:customStyle="1" w:styleId="63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9" Type="http://schemas.openxmlformats.org/officeDocument/2006/relationships/oleObject" Target="embeddings/oleObject520.bin"/><Relationship Id="rId998" Type="http://schemas.openxmlformats.org/officeDocument/2006/relationships/image" Target="media/image474.wmf"/><Relationship Id="rId997" Type="http://schemas.openxmlformats.org/officeDocument/2006/relationships/oleObject" Target="embeddings/oleObject519.bin"/><Relationship Id="rId996" Type="http://schemas.openxmlformats.org/officeDocument/2006/relationships/image" Target="media/image473.wmf"/><Relationship Id="rId995" Type="http://schemas.openxmlformats.org/officeDocument/2006/relationships/oleObject" Target="embeddings/oleObject518.bin"/><Relationship Id="rId994" Type="http://schemas.openxmlformats.org/officeDocument/2006/relationships/image" Target="media/image472.wmf"/><Relationship Id="rId993" Type="http://schemas.openxmlformats.org/officeDocument/2006/relationships/oleObject" Target="embeddings/oleObject517.bin"/><Relationship Id="rId992" Type="http://schemas.openxmlformats.org/officeDocument/2006/relationships/image" Target="media/image471.wmf"/><Relationship Id="rId991" Type="http://schemas.openxmlformats.org/officeDocument/2006/relationships/oleObject" Target="embeddings/oleObject516.bin"/><Relationship Id="rId990" Type="http://schemas.openxmlformats.org/officeDocument/2006/relationships/image" Target="media/image470.wmf"/><Relationship Id="rId99" Type="http://schemas.openxmlformats.org/officeDocument/2006/relationships/image" Target="media/image45.wmf"/><Relationship Id="rId989" Type="http://schemas.openxmlformats.org/officeDocument/2006/relationships/oleObject" Target="embeddings/oleObject515.bin"/><Relationship Id="rId988" Type="http://schemas.openxmlformats.org/officeDocument/2006/relationships/image" Target="media/image469.wmf"/><Relationship Id="rId987" Type="http://schemas.openxmlformats.org/officeDocument/2006/relationships/oleObject" Target="embeddings/oleObject514.bin"/><Relationship Id="rId986" Type="http://schemas.openxmlformats.org/officeDocument/2006/relationships/image" Target="media/image468.wmf"/><Relationship Id="rId985" Type="http://schemas.openxmlformats.org/officeDocument/2006/relationships/oleObject" Target="embeddings/oleObject513.bin"/><Relationship Id="rId984" Type="http://schemas.openxmlformats.org/officeDocument/2006/relationships/image" Target="media/image467.wmf"/><Relationship Id="rId983" Type="http://schemas.openxmlformats.org/officeDocument/2006/relationships/oleObject" Target="embeddings/oleObject512.bin"/><Relationship Id="rId982" Type="http://schemas.openxmlformats.org/officeDocument/2006/relationships/image" Target="media/image466.wmf"/><Relationship Id="rId981" Type="http://schemas.openxmlformats.org/officeDocument/2006/relationships/oleObject" Target="embeddings/oleObject511.bin"/><Relationship Id="rId980" Type="http://schemas.openxmlformats.org/officeDocument/2006/relationships/image" Target="media/image465.wmf"/><Relationship Id="rId98" Type="http://schemas.openxmlformats.org/officeDocument/2006/relationships/oleObject" Target="embeddings/oleObject49.bin"/><Relationship Id="rId979" Type="http://schemas.openxmlformats.org/officeDocument/2006/relationships/oleObject" Target="embeddings/oleObject510.bin"/><Relationship Id="rId978" Type="http://schemas.openxmlformats.org/officeDocument/2006/relationships/oleObject" Target="embeddings/oleObject509.bin"/><Relationship Id="rId977" Type="http://schemas.openxmlformats.org/officeDocument/2006/relationships/oleObject" Target="embeddings/oleObject508.bin"/><Relationship Id="rId976" Type="http://schemas.openxmlformats.org/officeDocument/2006/relationships/image" Target="media/image464.wmf"/><Relationship Id="rId975" Type="http://schemas.openxmlformats.org/officeDocument/2006/relationships/oleObject" Target="embeddings/oleObject507.bin"/><Relationship Id="rId974" Type="http://schemas.openxmlformats.org/officeDocument/2006/relationships/image" Target="media/image463.wmf"/><Relationship Id="rId973" Type="http://schemas.openxmlformats.org/officeDocument/2006/relationships/oleObject" Target="embeddings/oleObject506.bin"/><Relationship Id="rId972" Type="http://schemas.openxmlformats.org/officeDocument/2006/relationships/image" Target="media/image462.wmf"/><Relationship Id="rId971" Type="http://schemas.openxmlformats.org/officeDocument/2006/relationships/oleObject" Target="embeddings/oleObject505.bin"/><Relationship Id="rId970" Type="http://schemas.openxmlformats.org/officeDocument/2006/relationships/image" Target="media/image461.wmf"/><Relationship Id="rId97" Type="http://schemas.openxmlformats.org/officeDocument/2006/relationships/image" Target="media/image44.wmf"/><Relationship Id="rId969" Type="http://schemas.openxmlformats.org/officeDocument/2006/relationships/oleObject" Target="embeddings/oleObject504.bin"/><Relationship Id="rId968" Type="http://schemas.openxmlformats.org/officeDocument/2006/relationships/image" Target="media/image460.wmf"/><Relationship Id="rId967" Type="http://schemas.openxmlformats.org/officeDocument/2006/relationships/oleObject" Target="embeddings/oleObject503.bin"/><Relationship Id="rId966" Type="http://schemas.openxmlformats.org/officeDocument/2006/relationships/image" Target="media/image459.wmf"/><Relationship Id="rId965" Type="http://schemas.openxmlformats.org/officeDocument/2006/relationships/oleObject" Target="embeddings/oleObject502.bin"/><Relationship Id="rId964" Type="http://schemas.openxmlformats.org/officeDocument/2006/relationships/image" Target="media/image458.wmf"/><Relationship Id="rId963" Type="http://schemas.openxmlformats.org/officeDocument/2006/relationships/oleObject" Target="embeddings/oleObject501.bin"/><Relationship Id="rId962" Type="http://schemas.openxmlformats.org/officeDocument/2006/relationships/image" Target="media/image457.wmf"/><Relationship Id="rId961" Type="http://schemas.openxmlformats.org/officeDocument/2006/relationships/oleObject" Target="embeddings/oleObject500.bin"/><Relationship Id="rId960" Type="http://schemas.openxmlformats.org/officeDocument/2006/relationships/image" Target="media/image456.wmf"/><Relationship Id="rId96" Type="http://schemas.openxmlformats.org/officeDocument/2006/relationships/oleObject" Target="embeddings/oleObject48.bin"/><Relationship Id="rId959" Type="http://schemas.openxmlformats.org/officeDocument/2006/relationships/oleObject" Target="embeddings/oleObject499.bin"/><Relationship Id="rId958" Type="http://schemas.openxmlformats.org/officeDocument/2006/relationships/image" Target="media/image455.wmf"/><Relationship Id="rId957" Type="http://schemas.openxmlformats.org/officeDocument/2006/relationships/oleObject" Target="embeddings/oleObject498.bin"/><Relationship Id="rId956" Type="http://schemas.openxmlformats.org/officeDocument/2006/relationships/image" Target="media/image454.wmf"/><Relationship Id="rId955" Type="http://schemas.openxmlformats.org/officeDocument/2006/relationships/oleObject" Target="embeddings/oleObject497.bin"/><Relationship Id="rId954" Type="http://schemas.openxmlformats.org/officeDocument/2006/relationships/image" Target="media/image453.wmf"/><Relationship Id="rId953" Type="http://schemas.openxmlformats.org/officeDocument/2006/relationships/oleObject" Target="embeddings/oleObject496.bin"/><Relationship Id="rId952" Type="http://schemas.openxmlformats.org/officeDocument/2006/relationships/image" Target="media/image452.wmf"/><Relationship Id="rId951" Type="http://schemas.openxmlformats.org/officeDocument/2006/relationships/oleObject" Target="embeddings/oleObject495.bin"/><Relationship Id="rId950" Type="http://schemas.openxmlformats.org/officeDocument/2006/relationships/image" Target="media/image451.wmf"/><Relationship Id="rId95" Type="http://schemas.openxmlformats.org/officeDocument/2006/relationships/image" Target="media/image43.wmf"/><Relationship Id="rId949" Type="http://schemas.openxmlformats.org/officeDocument/2006/relationships/oleObject" Target="embeddings/oleObject494.bin"/><Relationship Id="rId948" Type="http://schemas.openxmlformats.org/officeDocument/2006/relationships/image" Target="media/image450.wmf"/><Relationship Id="rId947" Type="http://schemas.openxmlformats.org/officeDocument/2006/relationships/oleObject" Target="embeddings/oleObject493.bin"/><Relationship Id="rId946" Type="http://schemas.openxmlformats.org/officeDocument/2006/relationships/image" Target="media/image449.wmf"/><Relationship Id="rId945" Type="http://schemas.openxmlformats.org/officeDocument/2006/relationships/oleObject" Target="embeddings/oleObject492.bin"/><Relationship Id="rId944" Type="http://schemas.openxmlformats.org/officeDocument/2006/relationships/oleObject" Target="embeddings/oleObject491.bin"/><Relationship Id="rId943" Type="http://schemas.openxmlformats.org/officeDocument/2006/relationships/oleObject" Target="embeddings/oleObject490.bin"/><Relationship Id="rId942" Type="http://schemas.openxmlformats.org/officeDocument/2006/relationships/oleObject" Target="embeddings/oleObject489.bin"/><Relationship Id="rId941" Type="http://schemas.openxmlformats.org/officeDocument/2006/relationships/oleObject" Target="embeddings/oleObject488.bin"/><Relationship Id="rId940" Type="http://schemas.openxmlformats.org/officeDocument/2006/relationships/oleObject" Target="embeddings/oleObject487.bin"/><Relationship Id="rId94" Type="http://schemas.openxmlformats.org/officeDocument/2006/relationships/oleObject" Target="embeddings/oleObject47.bin"/><Relationship Id="rId939" Type="http://schemas.openxmlformats.org/officeDocument/2006/relationships/oleObject" Target="embeddings/oleObject486.bin"/><Relationship Id="rId938" Type="http://schemas.openxmlformats.org/officeDocument/2006/relationships/image" Target="media/image448.wmf"/><Relationship Id="rId937" Type="http://schemas.openxmlformats.org/officeDocument/2006/relationships/oleObject" Target="embeddings/oleObject485.bin"/><Relationship Id="rId936" Type="http://schemas.openxmlformats.org/officeDocument/2006/relationships/image" Target="media/image447.wmf"/><Relationship Id="rId935" Type="http://schemas.openxmlformats.org/officeDocument/2006/relationships/oleObject" Target="embeddings/oleObject484.bin"/><Relationship Id="rId934" Type="http://schemas.openxmlformats.org/officeDocument/2006/relationships/image" Target="media/image446.wmf"/><Relationship Id="rId933" Type="http://schemas.openxmlformats.org/officeDocument/2006/relationships/oleObject" Target="embeddings/oleObject483.bin"/><Relationship Id="rId932" Type="http://schemas.openxmlformats.org/officeDocument/2006/relationships/image" Target="media/image445.wmf"/><Relationship Id="rId931" Type="http://schemas.openxmlformats.org/officeDocument/2006/relationships/oleObject" Target="embeddings/oleObject482.bin"/><Relationship Id="rId930" Type="http://schemas.openxmlformats.org/officeDocument/2006/relationships/image" Target="media/image444.wmf"/><Relationship Id="rId93" Type="http://schemas.openxmlformats.org/officeDocument/2006/relationships/image" Target="media/image42.wmf"/><Relationship Id="rId929" Type="http://schemas.openxmlformats.org/officeDocument/2006/relationships/oleObject" Target="embeddings/oleObject481.bin"/><Relationship Id="rId928" Type="http://schemas.openxmlformats.org/officeDocument/2006/relationships/oleObject" Target="embeddings/oleObject480.bin"/><Relationship Id="rId927" Type="http://schemas.openxmlformats.org/officeDocument/2006/relationships/image" Target="media/image443.wmf"/><Relationship Id="rId926" Type="http://schemas.openxmlformats.org/officeDocument/2006/relationships/oleObject" Target="embeddings/oleObject479.bin"/><Relationship Id="rId925" Type="http://schemas.openxmlformats.org/officeDocument/2006/relationships/oleObject" Target="embeddings/oleObject478.bin"/><Relationship Id="rId924" Type="http://schemas.openxmlformats.org/officeDocument/2006/relationships/image" Target="media/image442.wmf"/><Relationship Id="rId923" Type="http://schemas.openxmlformats.org/officeDocument/2006/relationships/oleObject" Target="embeddings/oleObject477.bin"/><Relationship Id="rId922" Type="http://schemas.openxmlformats.org/officeDocument/2006/relationships/oleObject" Target="embeddings/oleObject476.bin"/><Relationship Id="rId921" Type="http://schemas.openxmlformats.org/officeDocument/2006/relationships/image" Target="media/image441.wmf"/><Relationship Id="rId920" Type="http://schemas.openxmlformats.org/officeDocument/2006/relationships/oleObject" Target="embeddings/oleObject475.bin"/><Relationship Id="rId92" Type="http://schemas.openxmlformats.org/officeDocument/2006/relationships/oleObject" Target="embeddings/oleObject46.bin"/><Relationship Id="rId919" Type="http://schemas.openxmlformats.org/officeDocument/2006/relationships/image" Target="media/image440.wmf"/><Relationship Id="rId918" Type="http://schemas.openxmlformats.org/officeDocument/2006/relationships/oleObject" Target="embeddings/oleObject474.bin"/><Relationship Id="rId917" Type="http://schemas.openxmlformats.org/officeDocument/2006/relationships/image" Target="media/image439.wmf"/><Relationship Id="rId916" Type="http://schemas.openxmlformats.org/officeDocument/2006/relationships/oleObject" Target="embeddings/oleObject473.bin"/><Relationship Id="rId915" Type="http://schemas.openxmlformats.org/officeDocument/2006/relationships/image" Target="media/image438.wmf"/><Relationship Id="rId914" Type="http://schemas.openxmlformats.org/officeDocument/2006/relationships/oleObject" Target="embeddings/oleObject472.bin"/><Relationship Id="rId913" Type="http://schemas.openxmlformats.org/officeDocument/2006/relationships/image" Target="media/image437.wmf"/><Relationship Id="rId912" Type="http://schemas.openxmlformats.org/officeDocument/2006/relationships/oleObject" Target="embeddings/oleObject471.bin"/><Relationship Id="rId911" Type="http://schemas.openxmlformats.org/officeDocument/2006/relationships/oleObject" Target="embeddings/oleObject470.bin"/><Relationship Id="rId910" Type="http://schemas.openxmlformats.org/officeDocument/2006/relationships/image" Target="media/image436.wmf"/><Relationship Id="rId91" Type="http://schemas.openxmlformats.org/officeDocument/2006/relationships/image" Target="media/image41.wmf"/><Relationship Id="rId909" Type="http://schemas.openxmlformats.org/officeDocument/2006/relationships/oleObject" Target="embeddings/oleObject469.bin"/><Relationship Id="rId908" Type="http://schemas.openxmlformats.org/officeDocument/2006/relationships/image" Target="media/image435.wmf"/><Relationship Id="rId907" Type="http://schemas.openxmlformats.org/officeDocument/2006/relationships/oleObject" Target="embeddings/oleObject468.bin"/><Relationship Id="rId906" Type="http://schemas.openxmlformats.org/officeDocument/2006/relationships/image" Target="media/image434.wmf"/><Relationship Id="rId905" Type="http://schemas.openxmlformats.org/officeDocument/2006/relationships/oleObject" Target="embeddings/oleObject467.bin"/><Relationship Id="rId904" Type="http://schemas.openxmlformats.org/officeDocument/2006/relationships/image" Target="media/image433.wmf"/><Relationship Id="rId903" Type="http://schemas.openxmlformats.org/officeDocument/2006/relationships/oleObject" Target="embeddings/oleObject466.bin"/><Relationship Id="rId902" Type="http://schemas.openxmlformats.org/officeDocument/2006/relationships/oleObject" Target="embeddings/oleObject465.bin"/><Relationship Id="rId901" Type="http://schemas.openxmlformats.org/officeDocument/2006/relationships/image" Target="media/image432.wmf"/><Relationship Id="rId900" Type="http://schemas.openxmlformats.org/officeDocument/2006/relationships/oleObject" Target="embeddings/oleObject464.bin"/><Relationship Id="rId90" Type="http://schemas.openxmlformats.org/officeDocument/2006/relationships/oleObject" Target="embeddings/oleObject45.bin"/><Relationship Id="rId9" Type="http://schemas.openxmlformats.org/officeDocument/2006/relationships/image" Target="media/image2.wmf"/><Relationship Id="rId899" Type="http://schemas.openxmlformats.org/officeDocument/2006/relationships/image" Target="media/image431.wmf"/><Relationship Id="rId898" Type="http://schemas.openxmlformats.org/officeDocument/2006/relationships/oleObject" Target="embeddings/oleObject463.bin"/><Relationship Id="rId897" Type="http://schemas.openxmlformats.org/officeDocument/2006/relationships/image" Target="media/image430.wmf"/><Relationship Id="rId896" Type="http://schemas.openxmlformats.org/officeDocument/2006/relationships/oleObject" Target="embeddings/oleObject462.bin"/><Relationship Id="rId895" Type="http://schemas.openxmlformats.org/officeDocument/2006/relationships/oleObject" Target="embeddings/oleObject461.bin"/><Relationship Id="rId894" Type="http://schemas.openxmlformats.org/officeDocument/2006/relationships/oleObject" Target="embeddings/oleObject460.bin"/><Relationship Id="rId893" Type="http://schemas.openxmlformats.org/officeDocument/2006/relationships/image" Target="media/image429.wmf"/><Relationship Id="rId892" Type="http://schemas.openxmlformats.org/officeDocument/2006/relationships/oleObject" Target="embeddings/oleObject459.bin"/><Relationship Id="rId891" Type="http://schemas.openxmlformats.org/officeDocument/2006/relationships/image" Target="media/image428.wmf"/><Relationship Id="rId890" Type="http://schemas.openxmlformats.org/officeDocument/2006/relationships/oleObject" Target="embeddings/oleObject458.bin"/><Relationship Id="rId89" Type="http://schemas.openxmlformats.org/officeDocument/2006/relationships/image" Target="media/image40.wmf"/><Relationship Id="rId889" Type="http://schemas.openxmlformats.org/officeDocument/2006/relationships/image" Target="media/image427.wmf"/><Relationship Id="rId888" Type="http://schemas.openxmlformats.org/officeDocument/2006/relationships/oleObject" Target="embeddings/oleObject457.bin"/><Relationship Id="rId887" Type="http://schemas.openxmlformats.org/officeDocument/2006/relationships/image" Target="media/image426.wmf"/><Relationship Id="rId886" Type="http://schemas.openxmlformats.org/officeDocument/2006/relationships/oleObject" Target="embeddings/oleObject456.bin"/><Relationship Id="rId885" Type="http://schemas.openxmlformats.org/officeDocument/2006/relationships/image" Target="media/image425.wmf"/><Relationship Id="rId884" Type="http://schemas.openxmlformats.org/officeDocument/2006/relationships/oleObject" Target="embeddings/oleObject455.bin"/><Relationship Id="rId883" Type="http://schemas.openxmlformats.org/officeDocument/2006/relationships/image" Target="media/image424.wmf"/><Relationship Id="rId882" Type="http://schemas.openxmlformats.org/officeDocument/2006/relationships/oleObject" Target="embeddings/oleObject454.bin"/><Relationship Id="rId881" Type="http://schemas.openxmlformats.org/officeDocument/2006/relationships/image" Target="media/image423.wmf"/><Relationship Id="rId880" Type="http://schemas.openxmlformats.org/officeDocument/2006/relationships/oleObject" Target="embeddings/oleObject453.bin"/><Relationship Id="rId88" Type="http://schemas.openxmlformats.org/officeDocument/2006/relationships/oleObject" Target="embeddings/oleObject44.bin"/><Relationship Id="rId879" Type="http://schemas.openxmlformats.org/officeDocument/2006/relationships/image" Target="media/image422.wmf"/><Relationship Id="rId878" Type="http://schemas.openxmlformats.org/officeDocument/2006/relationships/oleObject" Target="embeddings/oleObject452.bin"/><Relationship Id="rId877" Type="http://schemas.openxmlformats.org/officeDocument/2006/relationships/image" Target="media/image421.wmf"/><Relationship Id="rId876" Type="http://schemas.openxmlformats.org/officeDocument/2006/relationships/oleObject" Target="embeddings/oleObject451.bin"/><Relationship Id="rId875" Type="http://schemas.openxmlformats.org/officeDocument/2006/relationships/image" Target="media/image420.wmf"/><Relationship Id="rId874" Type="http://schemas.openxmlformats.org/officeDocument/2006/relationships/oleObject" Target="embeddings/oleObject450.bin"/><Relationship Id="rId873" Type="http://schemas.openxmlformats.org/officeDocument/2006/relationships/image" Target="media/image419.wmf"/><Relationship Id="rId872" Type="http://schemas.openxmlformats.org/officeDocument/2006/relationships/oleObject" Target="embeddings/oleObject449.bin"/><Relationship Id="rId871" Type="http://schemas.openxmlformats.org/officeDocument/2006/relationships/image" Target="media/image418.wmf"/><Relationship Id="rId870" Type="http://schemas.openxmlformats.org/officeDocument/2006/relationships/oleObject" Target="embeddings/oleObject448.bin"/><Relationship Id="rId87" Type="http://schemas.openxmlformats.org/officeDocument/2006/relationships/image" Target="media/image39.wmf"/><Relationship Id="rId869" Type="http://schemas.openxmlformats.org/officeDocument/2006/relationships/oleObject" Target="embeddings/oleObject447.bin"/><Relationship Id="rId868" Type="http://schemas.openxmlformats.org/officeDocument/2006/relationships/oleObject" Target="embeddings/oleObject446.bin"/><Relationship Id="rId867" Type="http://schemas.openxmlformats.org/officeDocument/2006/relationships/image" Target="media/image417.wmf"/><Relationship Id="rId866" Type="http://schemas.openxmlformats.org/officeDocument/2006/relationships/oleObject" Target="embeddings/oleObject445.bin"/><Relationship Id="rId865" Type="http://schemas.openxmlformats.org/officeDocument/2006/relationships/image" Target="media/image416.wmf"/><Relationship Id="rId864" Type="http://schemas.openxmlformats.org/officeDocument/2006/relationships/oleObject" Target="embeddings/oleObject444.bin"/><Relationship Id="rId863" Type="http://schemas.openxmlformats.org/officeDocument/2006/relationships/oleObject" Target="embeddings/oleObject443.bin"/><Relationship Id="rId862" Type="http://schemas.openxmlformats.org/officeDocument/2006/relationships/image" Target="media/image415.wmf"/><Relationship Id="rId861" Type="http://schemas.openxmlformats.org/officeDocument/2006/relationships/oleObject" Target="embeddings/oleObject442.bin"/><Relationship Id="rId860" Type="http://schemas.openxmlformats.org/officeDocument/2006/relationships/image" Target="media/image414.wmf"/><Relationship Id="rId86" Type="http://schemas.openxmlformats.org/officeDocument/2006/relationships/oleObject" Target="embeddings/oleObject43.bin"/><Relationship Id="rId859" Type="http://schemas.openxmlformats.org/officeDocument/2006/relationships/oleObject" Target="embeddings/oleObject441.bin"/><Relationship Id="rId858" Type="http://schemas.openxmlformats.org/officeDocument/2006/relationships/image" Target="media/image413.wmf"/><Relationship Id="rId857" Type="http://schemas.openxmlformats.org/officeDocument/2006/relationships/oleObject" Target="embeddings/oleObject440.bin"/><Relationship Id="rId856" Type="http://schemas.openxmlformats.org/officeDocument/2006/relationships/image" Target="media/image412.wmf"/><Relationship Id="rId855" Type="http://schemas.openxmlformats.org/officeDocument/2006/relationships/oleObject" Target="embeddings/oleObject439.bin"/><Relationship Id="rId854" Type="http://schemas.openxmlformats.org/officeDocument/2006/relationships/image" Target="media/image411.wmf"/><Relationship Id="rId853" Type="http://schemas.openxmlformats.org/officeDocument/2006/relationships/oleObject" Target="embeddings/oleObject438.bin"/><Relationship Id="rId852" Type="http://schemas.openxmlformats.org/officeDocument/2006/relationships/image" Target="media/image410.wmf"/><Relationship Id="rId851" Type="http://schemas.openxmlformats.org/officeDocument/2006/relationships/oleObject" Target="embeddings/oleObject437.bin"/><Relationship Id="rId850" Type="http://schemas.openxmlformats.org/officeDocument/2006/relationships/image" Target="media/image409.wmf"/><Relationship Id="rId85" Type="http://schemas.openxmlformats.org/officeDocument/2006/relationships/image" Target="media/image38.wmf"/><Relationship Id="rId849" Type="http://schemas.openxmlformats.org/officeDocument/2006/relationships/oleObject" Target="embeddings/oleObject436.bin"/><Relationship Id="rId848" Type="http://schemas.openxmlformats.org/officeDocument/2006/relationships/image" Target="media/image408.wmf"/><Relationship Id="rId847" Type="http://schemas.openxmlformats.org/officeDocument/2006/relationships/oleObject" Target="embeddings/oleObject435.bin"/><Relationship Id="rId846" Type="http://schemas.openxmlformats.org/officeDocument/2006/relationships/image" Target="media/image407.wmf"/><Relationship Id="rId845" Type="http://schemas.openxmlformats.org/officeDocument/2006/relationships/oleObject" Target="embeddings/oleObject434.bin"/><Relationship Id="rId844" Type="http://schemas.openxmlformats.org/officeDocument/2006/relationships/image" Target="media/image406.wmf"/><Relationship Id="rId843" Type="http://schemas.openxmlformats.org/officeDocument/2006/relationships/oleObject" Target="embeddings/oleObject433.bin"/><Relationship Id="rId842" Type="http://schemas.openxmlformats.org/officeDocument/2006/relationships/image" Target="media/image405.wmf"/><Relationship Id="rId841" Type="http://schemas.openxmlformats.org/officeDocument/2006/relationships/oleObject" Target="embeddings/oleObject432.bin"/><Relationship Id="rId840" Type="http://schemas.openxmlformats.org/officeDocument/2006/relationships/image" Target="media/image404.wmf"/><Relationship Id="rId84" Type="http://schemas.openxmlformats.org/officeDocument/2006/relationships/oleObject" Target="embeddings/oleObject42.bin"/><Relationship Id="rId839" Type="http://schemas.openxmlformats.org/officeDocument/2006/relationships/oleObject" Target="embeddings/oleObject431.bin"/><Relationship Id="rId838" Type="http://schemas.openxmlformats.org/officeDocument/2006/relationships/oleObject" Target="embeddings/oleObject430.bin"/><Relationship Id="rId837" Type="http://schemas.openxmlformats.org/officeDocument/2006/relationships/oleObject" Target="embeddings/oleObject429.bin"/><Relationship Id="rId836" Type="http://schemas.openxmlformats.org/officeDocument/2006/relationships/image" Target="media/image403.wmf"/><Relationship Id="rId835" Type="http://schemas.openxmlformats.org/officeDocument/2006/relationships/oleObject" Target="embeddings/oleObject428.bin"/><Relationship Id="rId834" Type="http://schemas.openxmlformats.org/officeDocument/2006/relationships/image" Target="media/image402.wmf"/><Relationship Id="rId833" Type="http://schemas.openxmlformats.org/officeDocument/2006/relationships/oleObject" Target="embeddings/oleObject427.bin"/><Relationship Id="rId832" Type="http://schemas.openxmlformats.org/officeDocument/2006/relationships/oleObject" Target="embeddings/oleObject426.bin"/><Relationship Id="rId831" Type="http://schemas.openxmlformats.org/officeDocument/2006/relationships/image" Target="media/image401.wmf"/><Relationship Id="rId830" Type="http://schemas.openxmlformats.org/officeDocument/2006/relationships/oleObject" Target="embeddings/oleObject425.bin"/><Relationship Id="rId83" Type="http://schemas.openxmlformats.org/officeDocument/2006/relationships/image" Target="media/image37.wmf"/><Relationship Id="rId829" Type="http://schemas.openxmlformats.org/officeDocument/2006/relationships/image" Target="media/image400.wmf"/><Relationship Id="rId828" Type="http://schemas.openxmlformats.org/officeDocument/2006/relationships/oleObject" Target="embeddings/oleObject424.bin"/><Relationship Id="rId827" Type="http://schemas.openxmlformats.org/officeDocument/2006/relationships/oleObject" Target="embeddings/oleObject423.bin"/><Relationship Id="rId826" Type="http://schemas.openxmlformats.org/officeDocument/2006/relationships/image" Target="media/image399.wmf"/><Relationship Id="rId825" Type="http://schemas.openxmlformats.org/officeDocument/2006/relationships/oleObject" Target="embeddings/oleObject422.bin"/><Relationship Id="rId824" Type="http://schemas.openxmlformats.org/officeDocument/2006/relationships/oleObject" Target="embeddings/oleObject421.bin"/><Relationship Id="rId823" Type="http://schemas.openxmlformats.org/officeDocument/2006/relationships/image" Target="media/image398.wmf"/><Relationship Id="rId822" Type="http://schemas.openxmlformats.org/officeDocument/2006/relationships/oleObject" Target="embeddings/oleObject420.bin"/><Relationship Id="rId821" Type="http://schemas.openxmlformats.org/officeDocument/2006/relationships/image" Target="media/image397.wmf"/><Relationship Id="rId820" Type="http://schemas.openxmlformats.org/officeDocument/2006/relationships/oleObject" Target="embeddings/oleObject419.bin"/><Relationship Id="rId82" Type="http://schemas.openxmlformats.org/officeDocument/2006/relationships/oleObject" Target="embeddings/oleObject41.bin"/><Relationship Id="rId819" Type="http://schemas.openxmlformats.org/officeDocument/2006/relationships/image" Target="media/image396.wmf"/><Relationship Id="rId818" Type="http://schemas.openxmlformats.org/officeDocument/2006/relationships/oleObject" Target="embeddings/oleObject418.bin"/><Relationship Id="rId817" Type="http://schemas.openxmlformats.org/officeDocument/2006/relationships/image" Target="media/image395.wmf"/><Relationship Id="rId816" Type="http://schemas.openxmlformats.org/officeDocument/2006/relationships/oleObject" Target="embeddings/oleObject417.bin"/><Relationship Id="rId815" Type="http://schemas.openxmlformats.org/officeDocument/2006/relationships/image" Target="media/image394.wmf"/><Relationship Id="rId814" Type="http://schemas.openxmlformats.org/officeDocument/2006/relationships/oleObject" Target="embeddings/oleObject416.bin"/><Relationship Id="rId813" Type="http://schemas.openxmlformats.org/officeDocument/2006/relationships/image" Target="media/image393.wmf"/><Relationship Id="rId812" Type="http://schemas.openxmlformats.org/officeDocument/2006/relationships/oleObject" Target="embeddings/oleObject415.bin"/><Relationship Id="rId811" Type="http://schemas.openxmlformats.org/officeDocument/2006/relationships/oleObject" Target="embeddings/oleObject414.bin"/><Relationship Id="rId810" Type="http://schemas.openxmlformats.org/officeDocument/2006/relationships/oleObject" Target="embeddings/oleObject413.bin"/><Relationship Id="rId81" Type="http://schemas.openxmlformats.org/officeDocument/2006/relationships/image" Target="media/image36.wmf"/><Relationship Id="rId809" Type="http://schemas.openxmlformats.org/officeDocument/2006/relationships/oleObject" Target="embeddings/oleObject412.bin"/><Relationship Id="rId808" Type="http://schemas.openxmlformats.org/officeDocument/2006/relationships/image" Target="media/image392.wmf"/><Relationship Id="rId807" Type="http://schemas.openxmlformats.org/officeDocument/2006/relationships/oleObject" Target="embeddings/oleObject411.bin"/><Relationship Id="rId806" Type="http://schemas.openxmlformats.org/officeDocument/2006/relationships/image" Target="media/image391.wmf"/><Relationship Id="rId805" Type="http://schemas.openxmlformats.org/officeDocument/2006/relationships/oleObject" Target="embeddings/oleObject410.bin"/><Relationship Id="rId804" Type="http://schemas.openxmlformats.org/officeDocument/2006/relationships/oleObject" Target="embeddings/oleObject409.bin"/><Relationship Id="rId803" Type="http://schemas.openxmlformats.org/officeDocument/2006/relationships/oleObject" Target="embeddings/oleObject408.bin"/><Relationship Id="rId802" Type="http://schemas.openxmlformats.org/officeDocument/2006/relationships/image" Target="media/image390.wmf"/><Relationship Id="rId801" Type="http://schemas.openxmlformats.org/officeDocument/2006/relationships/oleObject" Target="embeddings/oleObject407.bin"/><Relationship Id="rId800" Type="http://schemas.openxmlformats.org/officeDocument/2006/relationships/image" Target="media/image389.wmf"/><Relationship Id="rId80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799" Type="http://schemas.openxmlformats.org/officeDocument/2006/relationships/oleObject" Target="embeddings/oleObject406.bin"/><Relationship Id="rId798" Type="http://schemas.openxmlformats.org/officeDocument/2006/relationships/image" Target="media/image388.wmf"/><Relationship Id="rId797" Type="http://schemas.openxmlformats.org/officeDocument/2006/relationships/oleObject" Target="embeddings/oleObject405.bin"/><Relationship Id="rId796" Type="http://schemas.openxmlformats.org/officeDocument/2006/relationships/image" Target="media/image387.wmf"/><Relationship Id="rId795" Type="http://schemas.openxmlformats.org/officeDocument/2006/relationships/oleObject" Target="embeddings/oleObject404.bin"/><Relationship Id="rId794" Type="http://schemas.openxmlformats.org/officeDocument/2006/relationships/image" Target="media/image386.wmf"/><Relationship Id="rId793" Type="http://schemas.openxmlformats.org/officeDocument/2006/relationships/oleObject" Target="embeddings/oleObject403.bin"/><Relationship Id="rId792" Type="http://schemas.openxmlformats.org/officeDocument/2006/relationships/image" Target="media/image385.wmf"/><Relationship Id="rId791" Type="http://schemas.openxmlformats.org/officeDocument/2006/relationships/oleObject" Target="embeddings/oleObject402.bin"/><Relationship Id="rId790" Type="http://schemas.openxmlformats.org/officeDocument/2006/relationships/image" Target="media/image384.wmf"/><Relationship Id="rId79" Type="http://schemas.openxmlformats.org/officeDocument/2006/relationships/image" Target="media/image35.wmf"/><Relationship Id="rId789" Type="http://schemas.openxmlformats.org/officeDocument/2006/relationships/oleObject" Target="embeddings/oleObject401.bin"/><Relationship Id="rId788" Type="http://schemas.openxmlformats.org/officeDocument/2006/relationships/image" Target="media/image383.wmf"/><Relationship Id="rId787" Type="http://schemas.openxmlformats.org/officeDocument/2006/relationships/oleObject" Target="embeddings/oleObject400.bin"/><Relationship Id="rId786" Type="http://schemas.openxmlformats.org/officeDocument/2006/relationships/image" Target="media/image382.wmf"/><Relationship Id="rId785" Type="http://schemas.openxmlformats.org/officeDocument/2006/relationships/oleObject" Target="embeddings/oleObject399.bin"/><Relationship Id="rId784" Type="http://schemas.openxmlformats.org/officeDocument/2006/relationships/image" Target="media/image381.wmf"/><Relationship Id="rId783" Type="http://schemas.openxmlformats.org/officeDocument/2006/relationships/oleObject" Target="embeddings/oleObject398.bin"/><Relationship Id="rId782" Type="http://schemas.openxmlformats.org/officeDocument/2006/relationships/image" Target="media/image380.wmf"/><Relationship Id="rId781" Type="http://schemas.openxmlformats.org/officeDocument/2006/relationships/oleObject" Target="embeddings/oleObject397.bin"/><Relationship Id="rId780" Type="http://schemas.openxmlformats.org/officeDocument/2006/relationships/image" Target="media/image379.wmf"/><Relationship Id="rId78" Type="http://schemas.openxmlformats.org/officeDocument/2006/relationships/oleObject" Target="embeddings/oleObject39.bin"/><Relationship Id="rId779" Type="http://schemas.openxmlformats.org/officeDocument/2006/relationships/oleObject" Target="embeddings/oleObject396.bin"/><Relationship Id="rId778" Type="http://schemas.openxmlformats.org/officeDocument/2006/relationships/image" Target="media/image378.wmf"/><Relationship Id="rId777" Type="http://schemas.openxmlformats.org/officeDocument/2006/relationships/oleObject" Target="embeddings/oleObject395.bin"/><Relationship Id="rId776" Type="http://schemas.openxmlformats.org/officeDocument/2006/relationships/image" Target="media/image377.wmf"/><Relationship Id="rId775" Type="http://schemas.openxmlformats.org/officeDocument/2006/relationships/oleObject" Target="embeddings/oleObject394.bin"/><Relationship Id="rId774" Type="http://schemas.openxmlformats.org/officeDocument/2006/relationships/image" Target="media/image376.wmf"/><Relationship Id="rId773" Type="http://schemas.openxmlformats.org/officeDocument/2006/relationships/oleObject" Target="embeddings/oleObject393.bin"/><Relationship Id="rId772" Type="http://schemas.openxmlformats.org/officeDocument/2006/relationships/image" Target="media/image375.wmf"/><Relationship Id="rId771" Type="http://schemas.openxmlformats.org/officeDocument/2006/relationships/oleObject" Target="embeddings/oleObject392.bin"/><Relationship Id="rId770" Type="http://schemas.openxmlformats.org/officeDocument/2006/relationships/image" Target="media/image374.wmf"/><Relationship Id="rId77" Type="http://schemas.openxmlformats.org/officeDocument/2006/relationships/image" Target="media/image34.wmf"/><Relationship Id="rId769" Type="http://schemas.openxmlformats.org/officeDocument/2006/relationships/oleObject" Target="embeddings/oleObject391.bin"/><Relationship Id="rId768" Type="http://schemas.openxmlformats.org/officeDocument/2006/relationships/image" Target="media/image373.wmf"/><Relationship Id="rId767" Type="http://schemas.openxmlformats.org/officeDocument/2006/relationships/oleObject" Target="embeddings/oleObject390.bin"/><Relationship Id="rId766" Type="http://schemas.openxmlformats.org/officeDocument/2006/relationships/image" Target="media/image372.wmf"/><Relationship Id="rId765" Type="http://schemas.openxmlformats.org/officeDocument/2006/relationships/oleObject" Target="embeddings/oleObject389.bin"/><Relationship Id="rId764" Type="http://schemas.openxmlformats.org/officeDocument/2006/relationships/oleObject" Target="embeddings/oleObject388.bin"/><Relationship Id="rId763" Type="http://schemas.openxmlformats.org/officeDocument/2006/relationships/oleObject" Target="embeddings/oleObject387.bin"/><Relationship Id="rId762" Type="http://schemas.openxmlformats.org/officeDocument/2006/relationships/image" Target="media/image371.wmf"/><Relationship Id="rId761" Type="http://schemas.openxmlformats.org/officeDocument/2006/relationships/oleObject" Target="embeddings/oleObject386.bin"/><Relationship Id="rId760" Type="http://schemas.openxmlformats.org/officeDocument/2006/relationships/image" Target="media/image370.wmf"/><Relationship Id="rId76" Type="http://schemas.openxmlformats.org/officeDocument/2006/relationships/oleObject" Target="embeddings/oleObject38.bin"/><Relationship Id="rId759" Type="http://schemas.openxmlformats.org/officeDocument/2006/relationships/oleObject" Target="embeddings/oleObject385.bin"/><Relationship Id="rId758" Type="http://schemas.openxmlformats.org/officeDocument/2006/relationships/oleObject" Target="embeddings/oleObject384.bin"/><Relationship Id="rId757" Type="http://schemas.openxmlformats.org/officeDocument/2006/relationships/oleObject" Target="embeddings/oleObject383.bin"/><Relationship Id="rId756" Type="http://schemas.openxmlformats.org/officeDocument/2006/relationships/image" Target="media/image369.wmf"/><Relationship Id="rId755" Type="http://schemas.openxmlformats.org/officeDocument/2006/relationships/oleObject" Target="embeddings/oleObject382.bin"/><Relationship Id="rId754" Type="http://schemas.openxmlformats.org/officeDocument/2006/relationships/image" Target="media/image368.wmf"/><Relationship Id="rId753" Type="http://schemas.openxmlformats.org/officeDocument/2006/relationships/oleObject" Target="embeddings/oleObject381.bin"/><Relationship Id="rId752" Type="http://schemas.openxmlformats.org/officeDocument/2006/relationships/image" Target="media/image367.wmf"/><Relationship Id="rId751" Type="http://schemas.openxmlformats.org/officeDocument/2006/relationships/oleObject" Target="embeddings/oleObject380.bin"/><Relationship Id="rId750" Type="http://schemas.openxmlformats.org/officeDocument/2006/relationships/image" Target="media/image366.wmf"/><Relationship Id="rId75" Type="http://schemas.openxmlformats.org/officeDocument/2006/relationships/image" Target="media/image33.wmf"/><Relationship Id="rId749" Type="http://schemas.openxmlformats.org/officeDocument/2006/relationships/oleObject" Target="embeddings/oleObject379.bin"/><Relationship Id="rId748" Type="http://schemas.openxmlformats.org/officeDocument/2006/relationships/oleObject" Target="embeddings/oleObject378.bin"/><Relationship Id="rId747" Type="http://schemas.openxmlformats.org/officeDocument/2006/relationships/oleObject" Target="embeddings/oleObject377.bin"/><Relationship Id="rId746" Type="http://schemas.openxmlformats.org/officeDocument/2006/relationships/image" Target="media/image365.wmf"/><Relationship Id="rId745" Type="http://schemas.openxmlformats.org/officeDocument/2006/relationships/oleObject" Target="embeddings/oleObject376.bin"/><Relationship Id="rId744" Type="http://schemas.openxmlformats.org/officeDocument/2006/relationships/oleObject" Target="embeddings/oleObject375.bin"/><Relationship Id="rId743" Type="http://schemas.openxmlformats.org/officeDocument/2006/relationships/oleObject" Target="embeddings/oleObject374.bin"/><Relationship Id="rId742" Type="http://schemas.openxmlformats.org/officeDocument/2006/relationships/image" Target="media/image364.wmf"/><Relationship Id="rId741" Type="http://schemas.openxmlformats.org/officeDocument/2006/relationships/oleObject" Target="embeddings/oleObject373.bin"/><Relationship Id="rId740" Type="http://schemas.openxmlformats.org/officeDocument/2006/relationships/image" Target="media/image363.wmf"/><Relationship Id="rId74" Type="http://schemas.openxmlformats.org/officeDocument/2006/relationships/oleObject" Target="embeddings/oleObject37.bin"/><Relationship Id="rId739" Type="http://schemas.openxmlformats.org/officeDocument/2006/relationships/oleObject" Target="embeddings/oleObject372.bin"/><Relationship Id="rId738" Type="http://schemas.openxmlformats.org/officeDocument/2006/relationships/oleObject" Target="embeddings/oleObject371.bin"/><Relationship Id="rId737" Type="http://schemas.openxmlformats.org/officeDocument/2006/relationships/image" Target="media/image362.wmf"/><Relationship Id="rId736" Type="http://schemas.openxmlformats.org/officeDocument/2006/relationships/oleObject" Target="embeddings/oleObject370.bin"/><Relationship Id="rId735" Type="http://schemas.openxmlformats.org/officeDocument/2006/relationships/oleObject" Target="embeddings/oleObject369.bin"/><Relationship Id="rId734" Type="http://schemas.openxmlformats.org/officeDocument/2006/relationships/image" Target="media/image361.wmf"/><Relationship Id="rId733" Type="http://schemas.openxmlformats.org/officeDocument/2006/relationships/oleObject" Target="embeddings/oleObject368.bin"/><Relationship Id="rId732" Type="http://schemas.openxmlformats.org/officeDocument/2006/relationships/image" Target="media/image360.wmf"/><Relationship Id="rId731" Type="http://schemas.openxmlformats.org/officeDocument/2006/relationships/oleObject" Target="embeddings/oleObject367.bin"/><Relationship Id="rId730" Type="http://schemas.openxmlformats.org/officeDocument/2006/relationships/image" Target="media/image359.wmf"/><Relationship Id="rId73" Type="http://schemas.openxmlformats.org/officeDocument/2006/relationships/image" Target="media/image32.wmf"/><Relationship Id="rId729" Type="http://schemas.openxmlformats.org/officeDocument/2006/relationships/oleObject" Target="embeddings/oleObject366.bin"/><Relationship Id="rId728" Type="http://schemas.openxmlformats.org/officeDocument/2006/relationships/image" Target="media/image358.wmf"/><Relationship Id="rId727" Type="http://schemas.openxmlformats.org/officeDocument/2006/relationships/oleObject" Target="embeddings/oleObject365.bin"/><Relationship Id="rId726" Type="http://schemas.openxmlformats.org/officeDocument/2006/relationships/image" Target="media/image357.wmf"/><Relationship Id="rId725" Type="http://schemas.openxmlformats.org/officeDocument/2006/relationships/oleObject" Target="embeddings/oleObject364.bin"/><Relationship Id="rId724" Type="http://schemas.openxmlformats.org/officeDocument/2006/relationships/image" Target="media/image356.wmf"/><Relationship Id="rId723" Type="http://schemas.openxmlformats.org/officeDocument/2006/relationships/oleObject" Target="embeddings/oleObject363.bin"/><Relationship Id="rId722" Type="http://schemas.openxmlformats.org/officeDocument/2006/relationships/image" Target="media/image355.wmf"/><Relationship Id="rId721" Type="http://schemas.openxmlformats.org/officeDocument/2006/relationships/oleObject" Target="embeddings/oleObject362.bin"/><Relationship Id="rId720" Type="http://schemas.openxmlformats.org/officeDocument/2006/relationships/image" Target="media/image354.wmf"/><Relationship Id="rId72" Type="http://schemas.openxmlformats.org/officeDocument/2006/relationships/oleObject" Target="embeddings/oleObject36.bin"/><Relationship Id="rId719" Type="http://schemas.openxmlformats.org/officeDocument/2006/relationships/oleObject" Target="embeddings/oleObject361.bin"/><Relationship Id="rId718" Type="http://schemas.openxmlformats.org/officeDocument/2006/relationships/image" Target="media/image353.wmf"/><Relationship Id="rId717" Type="http://schemas.openxmlformats.org/officeDocument/2006/relationships/oleObject" Target="embeddings/oleObject360.bin"/><Relationship Id="rId716" Type="http://schemas.openxmlformats.org/officeDocument/2006/relationships/image" Target="media/image352.wmf"/><Relationship Id="rId715" Type="http://schemas.openxmlformats.org/officeDocument/2006/relationships/oleObject" Target="embeddings/oleObject359.bin"/><Relationship Id="rId714" Type="http://schemas.openxmlformats.org/officeDocument/2006/relationships/image" Target="media/image351.wmf"/><Relationship Id="rId713" Type="http://schemas.openxmlformats.org/officeDocument/2006/relationships/oleObject" Target="embeddings/oleObject358.bin"/><Relationship Id="rId712" Type="http://schemas.openxmlformats.org/officeDocument/2006/relationships/image" Target="media/image350.wmf"/><Relationship Id="rId711" Type="http://schemas.openxmlformats.org/officeDocument/2006/relationships/oleObject" Target="embeddings/oleObject357.bin"/><Relationship Id="rId710" Type="http://schemas.openxmlformats.org/officeDocument/2006/relationships/image" Target="media/image349.wmf"/><Relationship Id="rId71" Type="http://schemas.openxmlformats.org/officeDocument/2006/relationships/image" Target="media/image31.wmf"/><Relationship Id="rId709" Type="http://schemas.openxmlformats.org/officeDocument/2006/relationships/oleObject" Target="embeddings/oleObject356.bin"/><Relationship Id="rId708" Type="http://schemas.openxmlformats.org/officeDocument/2006/relationships/image" Target="media/image348.wmf"/><Relationship Id="rId707" Type="http://schemas.openxmlformats.org/officeDocument/2006/relationships/oleObject" Target="embeddings/oleObject355.bin"/><Relationship Id="rId706" Type="http://schemas.openxmlformats.org/officeDocument/2006/relationships/image" Target="media/image347.wmf"/><Relationship Id="rId705" Type="http://schemas.openxmlformats.org/officeDocument/2006/relationships/oleObject" Target="embeddings/oleObject354.bin"/><Relationship Id="rId704" Type="http://schemas.openxmlformats.org/officeDocument/2006/relationships/image" Target="media/image346.wmf"/><Relationship Id="rId703" Type="http://schemas.openxmlformats.org/officeDocument/2006/relationships/oleObject" Target="embeddings/oleObject353.bin"/><Relationship Id="rId702" Type="http://schemas.openxmlformats.org/officeDocument/2006/relationships/image" Target="media/image345.wmf"/><Relationship Id="rId701" Type="http://schemas.openxmlformats.org/officeDocument/2006/relationships/oleObject" Target="embeddings/oleObject352.bin"/><Relationship Id="rId700" Type="http://schemas.openxmlformats.org/officeDocument/2006/relationships/image" Target="media/image344.wmf"/><Relationship Id="rId70" Type="http://schemas.openxmlformats.org/officeDocument/2006/relationships/oleObject" Target="embeddings/oleObject35.bin"/><Relationship Id="rId7" Type="http://schemas.openxmlformats.org/officeDocument/2006/relationships/image" Target="media/image1.wmf"/><Relationship Id="rId699" Type="http://schemas.openxmlformats.org/officeDocument/2006/relationships/oleObject" Target="embeddings/oleObject351.bin"/><Relationship Id="rId698" Type="http://schemas.openxmlformats.org/officeDocument/2006/relationships/image" Target="media/image343.wmf"/><Relationship Id="rId697" Type="http://schemas.openxmlformats.org/officeDocument/2006/relationships/oleObject" Target="embeddings/oleObject350.bin"/><Relationship Id="rId696" Type="http://schemas.openxmlformats.org/officeDocument/2006/relationships/image" Target="media/image342.wmf"/><Relationship Id="rId695" Type="http://schemas.openxmlformats.org/officeDocument/2006/relationships/oleObject" Target="embeddings/oleObject349.bin"/><Relationship Id="rId694" Type="http://schemas.openxmlformats.org/officeDocument/2006/relationships/image" Target="media/image341.wmf"/><Relationship Id="rId693" Type="http://schemas.openxmlformats.org/officeDocument/2006/relationships/oleObject" Target="embeddings/oleObject348.bin"/><Relationship Id="rId692" Type="http://schemas.openxmlformats.org/officeDocument/2006/relationships/image" Target="media/image340.wmf"/><Relationship Id="rId691" Type="http://schemas.openxmlformats.org/officeDocument/2006/relationships/oleObject" Target="embeddings/oleObject347.bin"/><Relationship Id="rId690" Type="http://schemas.openxmlformats.org/officeDocument/2006/relationships/image" Target="media/image339.wmf"/><Relationship Id="rId69" Type="http://schemas.openxmlformats.org/officeDocument/2006/relationships/image" Target="media/image30.wmf"/><Relationship Id="rId689" Type="http://schemas.openxmlformats.org/officeDocument/2006/relationships/oleObject" Target="embeddings/oleObject346.bin"/><Relationship Id="rId688" Type="http://schemas.openxmlformats.org/officeDocument/2006/relationships/image" Target="media/image338.wmf"/><Relationship Id="rId687" Type="http://schemas.openxmlformats.org/officeDocument/2006/relationships/oleObject" Target="embeddings/oleObject345.bin"/><Relationship Id="rId686" Type="http://schemas.openxmlformats.org/officeDocument/2006/relationships/image" Target="media/image337.wmf"/><Relationship Id="rId685" Type="http://schemas.openxmlformats.org/officeDocument/2006/relationships/oleObject" Target="embeddings/oleObject344.bin"/><Relationship Id="rId684" Type="http://schemas.openxmlformats.org/officeDocument/2006/relationships/image" Target="media/image336.wmf"/><Relationship Id="rId683" Type="http://schemas.openxmlformats.org/officeDocument/2006/relationships/oleObject" Target="embeddings/oleObject343.bin"/><Relationship Id="rId682" Type="http://schemas.openxmlformats.org/officeDocument/2006/relationships/image" Target="media/image335.wmf"/><Relationship Id="rId681" Type="http://schemas.openxmlformats.org/officeDocument/2006/relationships/oleObject" Target="embeddings/oleObject342.bin"/><Relationship Id="rId680" Type="http://schemas.openxmlformats.org/officeDocument/2006/relationships/image" Target="media/image334.wmf"/><Relationship Id="rId68" Type="http://schemas.openxmlformats.org/officeDocument/2006/relationships/oleObject" Target="embeddings/oleObject34.bin"/><Relationship Id="rId679" Type="http://schemas.openxmlformats.org/officeDocument/2006/relationships/oleObject" Target="embeddings/oleObject341.bin"/><Relationship Id="rId678" Type="http://schemas.openxmlformats.org/officeDocument/2006/relationships/oleObject" Target="embeddings/oleObject340.bin"/><Relationship Id="rId677" Type="http://schemas.openxmlformats.org/officeDocument/2006/relationships/image" Target="media/image333.wmf"/><Relationship Id="rId676" Type="http://schemas.openxmlformats.org/officeDocument/2006/relationships/oleObject" Target="embeddings/oleObject339.bin"/><Relationship Id="rId675" Type="http://schemas.openxmlformats.org/officeDocument/2006/relationships/image" Target="media/image332.wmf"/><Relationship Id="rId674" Type="http://schemas.openxmlformats.org/officeDocument/2006/relationships/oleObject" Target="embeddings/oleObject338.bin"/><Relationship Id="rId673" Type="http://schemas.openxmlformats.org/officeDocument/2006/relationships/image" Target="media/image331.wmf"/><Relationship Id="rId672" Type="http://schemas.openxmlformats.org/officeDocument/2006/relationships/oleObject" Target="embeddings/oleObject337.bin"/><Relationship Id="rId671" Type="http://schemas.openxmlformats.org/officeDocument/2006/relationships/image" Target="media/image330.wmf"/><Relationship Id="rId670" Type="http://schemas.openxmlformats.org/officeDocument/2006/relationships/oleObject" Target="embeddings/oleObject336.bin"/><Relationship Id="rId67" Type="http://schemas.openxmlformats.org/officeDocument/2006/relationships/image" Target="media/image29.wmf"/><Relationship Id="rId669" Type="http://schemas.openxmlformats.org/officeDocument/2006/relationships/image" Target="media/image329.png"/><Relationship Id="rId668" Type="http://schemas.openxmlformats.org/officeDocument/2006/relationships/oleObject" Target="embeddings/oleObject335.bin"/><Relationship Id="rId667" Type="http://schemas.openxmlformats.org/officeDocument/2006/relationships/oleObject" Target="embeddings/oleObject334.bin"/><Relationship Id="rId666" Type="http://schemas.openxmlformats.org/officeDocument/2006/relationships/image" Target="media/image328.png"/><Relationship Id="rId665" Type="http://schemas.openxmlformats.org/officeDocument/2006/relationships/oleObject" Target="embeddings/oleObject333.bin"/><Relationship Id="rId664" Type="http://schemas.openxmlformats.org/officeDocument/2006/relationships/oleObject" Target="embeddings/oleObject332.bin"/><Relationship Id="rId663" Type="http://schemas.openxmlformats.org/officeDocument/2006/relationships/image" Target="media/image327.emf"/><Relationship Id="rId662" Type="http://schemas.openxmlformats.org/officeDocument/2006/relationships/oleObject" Target="embeddings/oleObject331.bin"/><Relationship Id="rId661" Type="http://schemas.openxmlformats.org/officeDocument/2006/relationships/image" Target="media/image326.wmf"/><Relationship Id="rId660" Type="http://schemas.openxmlformats.org/officeDocument/2006/relationships/oleObject" Target="embeddings/oleObject330.bin"/><Relationship Id="rId66" Type="http://schemas.openxmlformats.org/officeDocument/2006/relationships/oleObject" Target="embeddings/oleObject33.bin"/><Relationship Id="rId659" Type="http://schemas.openxmlformats.org/officeDocument/2006/relationships/image" Target="media/image325.wmf"/><Relationship Id="rId658" Type="http://schemas.openxmlformats.org/officeDocument/2006/relationships/oleObject" Target="embeddings/oleObject329.bin"/><Relationship Id="rId657" Type="http://schemas.openxmlformats.org/officeDocument/2006/relationships/image" Target="media/image324.wmf"/><Relationship Id="rId656" Type="http://schemas.openxmlformats.org/officeDocument/2006/relationships/oleObject" Target="embeddings/oleObject328.bin"/><Relationship Id="rId655" Type="http://schemas.openxmlformats.org/officeDocument/2006/relationships/image" Target="media/image323.wmf"/><Relationship Id="rId654" Type="http://schemas.openxmlformats.org/officeDocument/2006/relationships/oleObject" Target="embeddings/oleObject327.bin"/><Relationship Id="rId653" Type="http://schemas.openxmlformats.org/officeDocument/2006/relationships/image" Target="media/image322.wmf"/><Relationship Id="rId652" Type="http://schemas.openxmlformats.org/officeDocument/2006/relationships/oleObject" Target="embeddings/oleObject326.bin"/><Relationship Id="rId651" Type="http://schemas.openxmlformats.org/officeDocument/2006/relationships/image" Target="media/image321.png"/><Relationship Id="rId650" Type="http://schemas.openxmlformats.org/officeDocument/2006/relationships/image" Target="media/image320.png"/><Relationship Id="rId65" Type="http://schemas.openxmlformats.org/officeDocument/2006/relationships/image" Target="media/image28.wmf"/><Relationship Id="rId649" Type="http://schemas.openxmlformats.org/officeDocument/2006/relationships/image" Target="media/image319.wmf"/><Relationship Id="rId648" Type="http://schemas.openxmlformats.org/officeDocument/2006/relationships/oleObject" Target="embeddings/oleObject325.bin"/><Relationship Id="rId647" Type="http://schemas.openxmlformats.org/officeDocument/2006/relationships/image" Target="media/image318.wmf"/><Relationship Id="rId646" Type="http://schemas.openxmlformats.org/officeDocument/2006/relationships/oleObject" Target="embeddings/oleObject324.bin"/><Relationship Id="rId645" Type="http://schemas.openxmlformats.org/officeDocument/2006/relationships/image" Target="media/image317.wmf"/><Relationship Id="rId644" Type="http://schemas.openxmlformats.org/officeDocument/2006/relationships/oleObject" Target="embeddings/oleObject323.bin"/><Relationship Id="rId643" Type="http://schemas.openxmlformats.org/officeDocument/2006/relationships/image" Target="media/image316.png"/><Relationship Id="rId642" Type="http://schemas.openxmlformats.org/officeDocument/2006/relationships/image" Target="media/image315.png"/><Relationship Id="rId641" Type="http://schemas.openxmlformats.org/officeDocument/2006/relationships/image" Target="media/image314.png"/><Relationship Id="rId640" Type="http://schemas.openxmlformats.org/officeDocument/2006/relationships/image" Target="media/image313.png"/><Relationship Id="rId64" Type="http://schemas.openxmlformats.org/officeDocument/2006/relationships/oleObject" Target="embeddings/oleObject32.bin"/><Relationship Id="rId639" Type="http://schemas.openxmlformats.org/officeDocument/2006/relationships/image" Target="media/image312.png"/><Relationship Id="rId638" Type="http://schemas.openxmlformats.org/officeDocument/2006/relationships/image" Target="media/image311.wmf"/><Relationship Id="rId637" Type="http://schemas.openxmlformats.org/officeDocument/2006/relationships/oleObject" Target="embeddings/oleObject322.bin"/><Relationship Id="rId636" Type="http://schemas.openxmlformats.org/officeDocument/2006/relationships/image" Target="media/image310.wmf"/><Relationship Id="rId635" Type="http://schemas.openxmlformats.org/officeDocument/2006/relationships/oleObject" Target="embeddings/oleObject321.bin"/><Relationship Id="rId634" Type="http://schemas.openxmlformats.org/officeDocument/2006/relationships/image" Target="media/image309.wmf"/><Relationship Id="rId633" Type="http://schemas.openxmlformats.org/officeDocument/2006/relationships/oleObject" Target="embeddings/oleObject320.bin"/><Relationship Id="rId632" Type="http://schemas.openxmlformats.org/officeDocument/2006/relationships/image" Target="media/image308.wmf"/><Relationship Id="rId631" Type="http://schemas.openxmlformats.org/officeDocument/2006/relationships/oleObject" Target="embeddings/oleObject319.bin"/><Relationship Id="rId630" Type="http://schemas.openxmlformats.org/officeDocument/2006/relationships/image" Target="media/image307.wmf"/><Relationship Id="rId63" Type="http://schemas.openxmlformats.org/officeDocument/2006/relationships/image" Target="media/image27.wmf"/><Relationship Id="rId629" Type="http://schemas.openxmlformats.org/officeDocument/2006/relationships/oleObject" Target="embeddings/oleObject318.bin"/><Relationship Id="rId628" Type="http://schemas.openxmlformats.org/officeDocument/2006/relationships/image" Target="media/image306.wmf"/><Relationship Id="rId627" Type="http://schemas.openxmlformats.org/officeDocument/2006/relationships/oleObject" Target="embeddings/oleObject317.bin"/><Relationship Id="rId626" Type="http://schemas.openxmlformats.org/officeDocument/2006/relationships/image" Target="media/image305.wmf"/><Relationship Id="rId625" Type="http://schemas.openxmlformats.org/officeDocument/2006/relationships/oleObject" Target="embeddings/oleObject316.bin"/><Relationship Id="rId624" Type="http://schemas.openxmlformats.org/officeDocument/2006/relationships/image" Target="media/image304.wmf"/><Relationship Id="rId623" Type="http://schemas.openxmlformats.org/officeDocument/2006/relationships/oleObject" Target="embeddings/oleObject315.bin"/><Relationship Id="rId622" Type="http://schemas.openxmlformats.org/officeDocument/2006/relationships/image" Target="media/image303.wmf"/><Relationship Id="rId621" Type="http://schemas.openxmlformats.org/officeDocument/2006/relationships/oleObject" Target="embeddings/oleObject314.bin"/><Relationship Id="rId620" Type="http://schemas.openxmlformats.org/officeDocument/2006/relationships/image" Target="media/image302.wmf"/><Relationship Id="rId62" Type="http://schemas.openxmlformats.org/officeDocument/2006/relationships/oleObject" Target="embeddings/oleObject31.bin"/><Relationship Id="rId619" Type="http://schemas.openxmlformats.org/officeDocument/2006/relationships/oleObject" Target="embeddings/oleObject313.bin"/><Relationship Id="rId618" Type="http://schemas.openxmlformats.org/officeDocument/2006/relationships/image" Target="media/image301.wmf"/><Relationship Id="rId617" Type="http://schemas.openxmlformats.org/officeDocument/2006/relationships/oleObject" Target="embeddings/oleObject312.bin"/><Relationship Id="rId616" Type="http://schemas.openxmlformats.org/officeDocument/2006/relationships/image" Target="media/image300.wmf"/><Relationship Id="rId615" Type="http://schemas.openxmlformats.org/officeDocument/2006/relationships/oleObject" Target="embeddings/oleObject311.bin"/><Relationship Id="rId614" Type="http://schemas.openxmlformats.org/officeDocument/2006/relationships/image" Target="media/image299.wmf"/><Relationship Id="rId613" Type="http://schemas.openxmlformats.org/officeDocument/2006/relationships/oleObject" Target="embeddings/oleObject310.bin"/><Relationship Id="rId612" Type="http://schemas.openxmlformats.org/officeDocument/2006/relationships/image" Target="media/image298.wmf"/><Relationship Id="rId611" Type="http://schemas.openxmlformats.org/officeDocument/2006/relationships/oleObject" Target="embeddings/oleObject309.bin"/><Relationship Id="rId610" Type="http://schemas.openxmlformats.org/officeDocument/2006/relationships/image" Target="media/image297.wmf"/><Relationship Id="rId61" Type="http://schemas.openxmlformats.org/officeDocument/2006/relationships/image" Target="media/image26.wmf"/><Relationship Id="rId609" Type="http://schemas.openxmlformats.org/officeDocument/2006/relationships/oleObject" Target="embeddings/oleObject308.bin"/><Relationship Id="rId608" Type="http://schemas.openxmlformats.org/officeDocument/2006/relationships/image" Target="media/image296.wmf"/><Relationship Id="rId607" Type="http://schemas.openxmlformats.org/officeDocument/2006/relationships/oleObject" Target="embeddings/oleObject307.bin"/><Relationship Id="rId606" Type="http://schemas.openxmlformats.org/officeDocument/2006/relationships/image" Target="media/image295.wmf"/><Relationship Id="rId605" Type="http://schemas.openxmlformats.org/officeDocument/2006/relationships/oleObject" Target="embeddings/oleObject306.bin"/><Relationship Id="rId604" Type="http://schemas.openxmlformats.org/officeDocument/2006/relationships/image" Target="media/image294.wmf"/><Relationship Id="rId603" Type="http://schemas.openxmlformats.org/officeDocument/2006/relationships/oleObject" Target="embeddings/oleObject305.bin"/><Relationship Id="rId602" Type="http://schemas.openxmlformats.org/officeDocument/2006/relationships/image" Target="media/image293.wmf"/><Relationship Id="rId601" Type="http://schemas.openxmlformats.org/officeDocument/2006/relationships/oleObject" Target="embeddings/oleObject304.bin"/><Relationship Id="rId600" Type="http://schemas.openxmlformats.org/officeDocument/2006/relationships/image" Target="media/image292.png"/><Relationship Id="rId60" Type="http://schemas.openxmlformats.org/officeDocument/2006/relationships/oleObject" Target="embeddings/oleObject30.bin"/><Relationship Id="rId6" Type="http://schemas.openxmlformats.org/officeDocument/2006/relationships/oleObject" Target="embeddings/oleObject1.bin"/><Relationship Id="rId599" Type="http://schemas.openxmlformats.org/officeDocument/2006/relationships/image" Target="media/image291.wmf"/><Relationship Id="rId598" Type="http://schemas.openxmlformats.org/officeDocument/2006/relationships/oleObject" Target="embeddings/oleObject303.bin"/><Relationship Id="rId597" Type="http://schemas.openxmlformats.org/officeDocument/2006/relationships/image" Target="media/image290.wmf"/><Relationship Id="rId596" Type="http://schemas.openxmlformats.org/officeDocument/2006/relationships/oleObject" Target="embeddings/oleObject302.bin"/><Relationship Id="rId595" Type="http://schemas.openxmlformats.org/officeDocument/2006/relationships/image" Target="media/image289.wmf"/><Relationship Id="rId594" Type="http://schemas.openxmlformats.org/officeDocument/2006/relationships/oleObject" Target="embeddings/oleObject301.bin"/><Relationship Id="rId593" Type="http://schemas.openxmlformats.org/officeDocument/2006/relationships/image" Target="media/image288.wmf"/><Relationship Id="rId592" Type="http://schemas.openxmlformats.org/officeDocument/2006/relationships/oleObject" Target="embeddings/oleObject300.bin"/><Relationship Id="rId591" Type="http://schemas.openxmlformats.org/officeDocument/2006/relationships/image" Target="media/image287.wmf"/><Relationship Id="rId590" Type="http://schemas.openxmlformats.org/officeDocument/2006/relationships/oleObject" Target="embeddings/oleObject299.bin"/><Relationship Id="rId59" Type="http://schemas.openxmlformats.org/officeDocument/2006/relationships/image" Target="media/image25.wmf"/><Relationship Id="rId589" Type="http://schemas.openxmlformats.org/officeDocument/2006/relationships/image" Target="media/image286.wmf"/><Relationship Id="rId588" Type="http://schemas.openxmlformats.org/officeDocument/2006/relationships/oleObject" Target="embeddings/oleObject298.bin"/><Relationship Id="rId587" Type="http://schemas.openxmlformats.org/officeDocument/2006/relationships/image" Target="media/image285.wmf"/><Relationship Id="rId586" Type="http://schemas.openxmlformats.org/officeDocument/2006/relationships/oleObject" Target="embeddings/oleObject297.bin"/><Relationship Id="rId585" Type="http://schemas.openxmlformats.org/officeDocument/2006/relationships/image" Target="media/image284.wmf"/><Relationship Id="rId584" Type="http://schemas.openxmlformats.org/officeDocument/2006/relationships/oleObject" Target="embeddings/oleObject296.bin"/><Relationship Id="rId583" Type="http://schemas.openxmlformats.org/officeDocument/2006/relationships/image" Target="media/image283.wmf"/><Relationship Id="rId582" Type="http://schemas.openxmlformats.org/officeDocument/2006/relationships/oleObject" Target="embeddings/oleObject295.bin"/><Relationship Id="rId581" Type="http://schemas.openxmlformats.org/officeDocument/2006/relationships/image" Target="media/image282.wmf"/><Relationship Id="rId580" Type="http://schemas.openxmlformats.org/officeDocument/2006/relationships/oleObject" Target="embeddings/oleObject294.bin"/><Relationship Id="rId58" Type="http://schemas.openxmlformats.org/officeDocument/2006/relationships/oleObject" Target="embeddings/oleObject29.bin"/><Relationship Id="rId579" Type="http://schemas.openxmlformats.org/officeDocument/2006/relationships/image" Target="media/image281.wmf"/><Relationship Id="rId578" Type="http://schemas.openxmlformats.org/officeDocument/2006/relationships/oleObject" Target="embeddings/oleObject293.bin"/><Relationship Id="rId577" Type="http://schemas.openxmlformats.org/officeDocument/2006/relationships/image" Target="media/image280.wmf"/><Relationship Id="rId576" Type="http://schemas.openxmlformats.org/officeDocument/2006/relationships/oleObject" Target="embeddings/oleObject292.bin"/><Relationship Id="rId575" Type="http://schemas.openxmlformats.org/officeDocument/2006/relationships/image" Target="media/image279.wmf"/><Relationship Id="rId574" Type="http://schemas.openxmlformats.org/officeDocument/2006/relationships/oleObject" Target="embeddings/oleObject291.bin"/><Relationship Id="rId573" Type="http://schemas.openxmlformats.org/officeDocument/2006/relationships/image" Target="media/image278.wmf"/><Relationship Id="rId572" Type="http://schemas.openxmlformats.org/officeDocument/2006/relationships/oleObject" Target="embeddings/oleObject290.bin"/><Relationship Id="rId571" Type="http://schemas.openxmlformats.org/officeDocument/2006/relationships/image" Target="media/image277.wmf"/><Relationship Id="rId570" Type="http://schemas.openxmlformats.org/officeDocument/2006/relationships/oleObject" Target="embeddings/oleObject289.bin"/><Relationship Id="rId57" Type="http://schemas.openxmlformats.org/officeDocument/2006/relationships/oleObject" Target="embeddings/oleObject28.bin"/><Relationship Id="rId569" Type="http://schemas.openxmlformats.org/officeDocument/2006/relationships/image" Target="media/image276.wmf"/><Relationship Id="rId568" Type="http://schemas.openxmlformats.org/officeDocument/2006/relationships/oleObject" Target="embeddings/oleObject288.bin"/><Relationship Id="rId567" Type="http://schemas.openxmlformats.org/officeDocument/2006/relationships/image" Target="media/image275.wmf"/><Relationship Id="rId566" Type="http://schemas.openxmlformats.org/officeDocument/2006/relationships/oleObject" Target="embeddings/oleObject287.bin"/><Relationship Id="rId565" Type="http://schemas.openxmlformats.org/officeDocument/2006/relationships/image" Target="media/image274.wmf"/><Relationship Id="rId564" Type="http://schemas.openxmlformats.org/officeDocument/2006/relationships/oleObject" Target="embeddings/oleObject286.bin"/><Relationship Id="rId563" Type="http://schemas.openxmlformats.org/officeDocument/2006/relationships/image" Target="media/image273.wmf"/><Relationship Id="rId562" Type="http://schemas.openxmlformats.org/officeDocument/2006/relationships/oleObject" Target="embeddings/oleObject285.bin"/><Relationship Id="rId561" Type="http://schemas.openxmlformats.org/officeDocument/2006/relationships/image" Target="media/image272.wmf"/><Relationship Id="rId560" Type="http://schemas.openxmlformats.org/officeDocument/2006/relationships/oleObject" Target="embeddings/oleObject284.bin"/><Relationship Id="rId56" Type="http://schemas.openxmlformats.org/officeDocument/2006/relationships/oleObject" Target="embeddings/oleObject27.bin"/><Relationship Id="rId559" Type="http://schemas.openxmlformats.org/officeDocument/2006/relationships/image" Target="media/image271.wmf"/><Relationship Id="rId558" Type="http://schemas.openxmlformats.org/officeDocument/2006/relationships/oleObject" Target="embeddings/oleObject283.bin"/><Relationship Id="rId557" Type="http://schemas.openxmlformats.org/officeDocument/2006/relationships/image" Target="media/image270.wmf"/><Relationship Id="rId556" Type="http://schemas.openxmlformats.org/officeDocument/2006/relationships/oleObject" Target="embeddings/oleObject282.bin"/><Relationship Id="rId555" Type="http://schemas.openxmlformats.org/officeDocument/2006/relationships/image" Target="media/image269.wmf"/><Relationship Id="rId554" Type="http://schemas.openxmlformats.org/officeDocument/2006/relationships/oleObject" Target="embeddings/oleObject281.bin"/><Relationship Id="rId553" Type="http://schemas.openxmlformats.org/officeDocument/2006/relationships/image" Target="media/image268.wmf"/><Relationship Id="rId552" Type="http://schemas.openxmlformats.org/officeDocument/2006/relationships/oleObject" Target="embeddings/oleObject280.bin"/><Relationship Id="rId551" Type="http://schemas.openxmlformats.org/officeDocument/2006/relationships/image" Target="media/image267.wmf"/><Relationship Id="rId550" Type="http://schemas.openxmlformats.org/officeDocument/2006/relationships/oleObject" Target="embeddings/oleObject279.bin"/><Relationship Id="rId55" Type="http://schemas.openxmlformats.org/officeDocument/2006/relationships/image" Target="media/image24.wmf"/><Relationship Id="rId549" Type="http://schemas.openxmlformats.org/officeDocument/2006/relationships/image" Target="media/image266.wmf"/><Relationship Id="rId548" Type="http://schemas.openxmlformats.org/officeDocument/2006/relationships/oleObject" Target="embeddings/oleObject278.bin"/><Relationship Id="rId547" Type="http://schemas.openxmlformats.org/officeDocument/2006/relationships/image" Target="media/image265.wmf"/><Relationship Id="rId546" Type="http://schemas.openxmlformats.org/officeDocument/2006/relationships/oleObject" Target="embeddings/oleObject277.bin"/><Relationship Id="rId545" Type="http://schemas.openxmlformats.org/officeDocument/2006/relationships/image" Target="media/image264.wmf"/><Relationship Id="rId544" Type="http://schemas.openxmlformats.org/officeDocument/2006/relationships/oleObject" Target="embeddings/oleObject276.bin"/><Relationship Id="rId543" Type="http://schemas.openxmlformats.org/officeDocument/2006/relationships/image" Target="media/image263.wmf"/><Relationship Id="rId542" Type="http://schemas.openxmlformats.org/officeDocument/2006/relationships/oleObject" Target="embeddings/oleObject275.bin"/><Relationship Id="rId541" Type="http://schemas.openxmlformats.org/officeDocument/2006/relationships/image" Target="media/image262.wmf"/><Relationship Id="rId540" Type="http://schemas.openxmlformats.org/officeDocument/2006/relationships/oleObject" Target="embeddings/oleObject274.bin"/><Relationship Id="rId54" Type="http://schemas.openxmlformats.org/officeDocument/2006/relationships/oleObject" Target="embeddings/oleObject26.bin"/><Relationship Id="rId539" Type="http://schemas.openxmlformats.org/officeDocument/2006/relationships/image" Target="media/image261.wmf"/><Relationship Id="rId538" Type="http://schemas.openxmlformats.org/officeDocument/2006/relationships/oleObject" Target="embeddings/oleObject273.bin"/><Relationship Id="rId537" Type="http://schemas.openxmlformats.org/officeDocument/2006/relationships/image" Target="media/image260.wmf"/><Relationship Id="rId536" Type="http://schemas.openxmlformats.org/officeDocument/2006/relationships/oleObject" Target="embeddings/oleObject272.bin"/><Relationship Id="rId535" Type="http://schemas.openxmlformats.org/officeDocument/2006/relationships/image" Target="media/image259.wmf"/><Relationship Id="rId534" Type="http://schemas.openxmlformats.org/officeDocument/2006/relationships/oleObject" Target="embeddings/oleObject271.bin"/><Relationship Id="rId533" Type="http://schemas.openxmlformats.org/officeDocument/2006/relationships/image" Target="media/image258.wmf"/><Relationship Id="rId532" Type="http://schemas.openxmlformats.org/officeDocument/2006/relationships/oleObject" Target="embeddings/oleObject270.bin"/><Relationship Id="rId531" Type="http://schemas.openxmlformats.org/officeDocument/2006/relationships/image" Target="media/image257.wmf"/><Relationship Id="rId530" Type="http://schemas.openxmlformats.org/officeDocument/2006/relationships/oleObject" Target="embeddings/oleObject269.bin"/><Relationship Id="rId53" Type="http://schemas.openxmlformats.org/officeDocument/2006/relationships/image" Target="media/image23.wmf"/><Relationship Id="rId529" Type="http://schemas.openxmlformats.org/officeDocument/2006/relationships/image" Target="media/image256.wmf"/><Relationship Id="rId528" Type="http://schemas.openxmlformats.org/officeDocument/2006/relationships/oleObject" Target="embeddings/oleObject268.bin"/><Relationship Id="rId527" Type="http://schemas.openxmlformats.org/officeDocument/2006/relationships/image" Target="media/image255.wmf"/><Relationship Id="rId526" Type="http://schemas.openxmlformats.org/officeDocument/2006/relationships/oleObject" Target="embeddings/oleObject267.bin"/><Relationship Id="rId525" Type="http://schemas.openxmlformats.org/officeDocument/2006/relationships/image" Target="media/image254.wmf"/><Relationship Id="rId524" Type="http://schemas.openxmlformats.org/officeDocument/2006/relationships/oleObject" Target="embeddings/oleObject266.bin"/><Relationship Id="rId523" Type="http://schemas.openxmlformats.org/officeDocument/2006/relationships/image" Target="media/image253.wmf"/><Relationship Id="rId522" Type="http://schemas.openxmlformats.org/officeDocument/2006/relationships/oleObject" Target="embeddings/oleObject265.bin"/><Relationship Id="rId521" Type="http://schemas.openxmlformats.org/officeDocument/2006/relationships/image" Target="media/image252.emf"/><Relationship Id="rId520" Type="http://schemas.openxmlformats.org/officeDocument/2006/relationships/image" Target="media/image251.wmf"/><Relationship Id="rId52" Type="http://schemas.openxmlformats.org/officeDocument/2006/relationships/oleObject" Target="embeddings/oleObject25.bin"/><Relationship Id="rId519" Type="http://schemas.openxmlformats.org/officeDocument/2006/relationships/oleObject" Target="embeddings/oleObject264.bin"/><Relationship Id="rId518" Type="http://schemas.openxmlformats.org/officeDocument/2006/relationships/oleObject" Target="embeddings/oleObject263.bin"/><Relationship Id="rId517" Type="http://schemas.openxmlformats.org/officeDocument/2006/relationships/image" Target="media/image250.wmf"/><Relationship Id="rId516" Type="http://schemas.openxmlformats.org/officeDocument/2006/relationships/oleObject" Target="embeddings/oleObject262.bin"/><Relationship Id="rId515" Type="http://schemas.openxmlformats.org/officeDocument/2006/relationships/image" Target="media/image249.wmf"/><Relationship Id="rId514" Type="http://schemas.openxmlformats.org/officeDocument/2006/relationships/oleObject" Target="embeddings/oleObject261.bin"/><Relationship Id="rId513" Type="http://schemas.openxmlformats.org/officeDocument/2006/relationships/image" Target="media/image248.wmf"/><Relationship Id="rId512" Type="http://schemas.openxmlformats.org/officeDocument/2006/relationships/oleObject" Target="embeddings/oleObject260.bin"/><Relationship Id="rId511" Type="http://schemas.openxmlformats.org/officeDocument/2006/relationships/oleObject" Target="embeddings/oleObject259.bin"/><Relationship Id="rId510" Type="http://schemas.openxmlformats.org/officeDocument/2006/relationships/oleObject" Target="embeddings/oleObject258.bin"/><Relationship Id="rId51" Type="http://schemas.openxmlformats.org/officeDocument/2006/relationships/oleObject" Target="embeddings/oleObject24.bin"/><Relationship Id="rId509" Type="http://schemas.openxmlformats.org/officeDocument/2006/relationships/image" Target="media/image247.wmf"/><Relationship Id="rId508" Type="http://schemas.openxmlformats.org/officeDocument/2006/relationships/oleObject" Target="embeddings/oleObject257.bin"/><Relationship Id="rId507" Type="http://schemas.openxmlformats.org/officeDocument/2006/relationships/image" Target="media/image246.wmf"/><Relationship Id="rId506" Type="http://schemas.openxmlformats.org/officeDocument/2006/relationships/oleObject" Target="embeddings/oleObject256.bin"/><Relationship Id="rId505" Type="http://schemas.openxmlformats.org/officeDocument/2006/relationships/oleObject" Target="embeddings/oleObject255.bin"/><Relationship Id="rId504" Type="http://schemas.openxmlformats.org/officeDocument/2006/relationships/oleObject" Target="embeddings/oleObject254.bin"/><Relationship Id="rId503" Type="http://schemas.openxmlformats.org/officeDocument/2006/relationships/image" Target="media/image245.wmf"/><Relationship Id="rId502" Type="http://schemas.openxmlformats.org/officeDocument/2006/relationships/oleObject" Target="embeddings/oleObject253.bin"/><Relationship Id="rId501" Type="http://schemas.openxmlformats.org/officeDocument/2006/relationships/oleObject" Target="embeddings/oleObject252.bin"/><Relationship Id="rId500" Type="http://schemas.openxmlformats.org/officeDocument/2006/relationships/oleObject" Target="embeddings/oleObject251.bin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9" Type="http://schemas.openxmlformats.org/officeDocument/2006/relationships/oleObject" Target="embeddings/oleObject250.bin"/><Relationship Id="rId498" Type="http://schemas.openxmlformats.org/officeDocument/2006/relationships/image" Target="media/image244.wmf"/><Relationship Id="rId497" Type="http://schemas.openxmlformats.org/officeDocument/2006/relationships/oleObject" Target="embeddings/oleObject249.bin"/><Relationship Id="rId496" Type="http://schemas.openxmlformats.org/officeDocument/2006/relationships/image" Target="media/image243.wmf"/><Relationship Id="rId495" Type="http://schemas.openxmlformats.org/officeDocument/2006/relationships/oleObject" Target="embeddings/oleObject248.bin"/><Relationship Id="rId494" Type="http://schemas.openxmlformats.org/officeDocument/2006/relationships/image" Target="media/image242.wmf"/><Relationship Id="rId493" Type="http://schemas.openxmlformats.org/officeDocument/2006/relationships/oleObject" Target="embeddings/oleObject247.bin"/><Relationship Id="rId492" Type="http://schemas.openxmlformats.org/officeDocument/2006/relationships/image" Target="media/image241.wmf"/><Relationship Id="rId491" Type="http://schemas.openxmlformats.org/officeDocument/2006/relationships/oleObject" Target="embeddings/oleObject246.bin"/><Relationship Id="rId490" Type="http://schemas.openxmlformats.org/officeDocument/2006/relationships/image" Target="media/image240.wmf"/><Relationship Id="rId49" Type="http://schemas.openxmlformats.org/officeDocument/2006/relationships/image" Target="media/image22.wmf"/><Relationship Id="rId489" Type="http://schemas.openxmlformats.org/officeDocument/2006/relationships/oleObject" Target="embeddings/oleObject245.bin"/><Relationship Id="rId488" Type="http://schemas.openxmlformats.org/officeDocument/2006/relationships/image" Target="media/image239.wmf"/><Relationship Id="rId487" Type="http://schemas.openxmlformats.org/officeDocument/2006/relationships/oleObject" Target="embeddings/oleObject244.bin"/><Relationship Id="rId486" Type="http://schemas.openxmlformats.org/officeDocument/2006/relationships/image" Target="media/image238.wmf"/><Relationship Id="rId485" Type="http://schemas.openxmlformats.org/officeDocument/2006/relationships/oleObject" Target="embeddings/oleObject243.bin"/><Relationship Id="rId484" Type="http://schemas.openxmlformats.org/officeDocument/2006/relationships/image" Target="media/image237.wmf"/><Relationship Id="rId483" Type="http://schemas.openxmlformats.org/officeDocument/2006/relationships/oleObject" Target="embeddings/oleObject242.bin"/><Relationship Id="rId482" Type="http://schemas.openxmlformats.org/officeDocument/2006/relationships/oleObject" Target="embeddings/oleObject241.bin"/><Relationship Id="rId481" Type="http://schemas.openxmlformats.org/officeDocument/2006/relationships/oleObject" Target="embeddings/oleObject240.bin"/><Relationship Id="rId480" Type="http://schemas.openxmlformats.org/officeDocument/2006/relationships/image" Target="media/image236.wmf"/><Relationship Id="rId48" Type="http://schemas.openxmlformats.org/officeDocument/2006/relationships/oleObject" Target="embeddings/oleObject22.bin"/><Relationship Id="rId479" Type="http://schemas.openxmlformats.org/officeDocument/2006/relationships/oleObject" Target="embeddings/oleObject239.bin"/><Relationship Id="rId478" Type="http://schemas.openxmlformats.org/officeDocument/2006/relationships/image" Target="media/image235.wmf"/><Relationship Id="rId477" Type="http://schemas.openxmlformats.org/officeDocument/2006/relationships/oleObject" Target="embeddings/oleObject238.bin"/><Relationship Id="rId476" Type="http://schemas.openxmlformats.org/officeDocument/2006/relationships/image" Target="media/image234.emf"/><Relationship Id="rId475" Type="http://schemas.openxmlformats.org/officeDocument/2006/relationships/image" Target="media/image233.emf"/><Relationship Id="rId474" Type="http://schemas.openxmlformats.org/officeDocument/2006/relationships/image" Target="media/image232.wmf"/><Relationship Id="rId473" Type="http://schemas.openxmlformats.org/officeDocument/2006/relationships/oleObject" Target="embeddings/oleObject237.bin"/><Relationship Id="rId472" Type="http://schemas.openxmlformats.org/officeDocument/2006/relationships/image" Target="media/image231.wmf"/><Relationship Id="rId471" Type="http://schemas.openxmlformats.org/officeDocument/2006/relationships/oleObject" Target="embeddings/oleObject236.bin"/><Relationship Id="rId470" Type="http://schemas.openxmlformats.org/officeDocument/2006/relationships/image" Target="media/image230.emf"/><Relationship Id="rId47" Type="http://schemas.openxmlformats.org/officeDocument/2006/relationships/image" Target="media/image21.wmf"/><Relationship Id="rId469" Type="http://schemas.openxmlformats.org/officeDocument/2006/relationships/image" Target="media/image229.emf"/><Relationship Id="rId468" Type="http://schemas.openxmlformats.org/officeDocument/2006/relationships/image" Target="media/image228.wmf"/><Relationship Id="rId467" Type="http://schemas.openxmlformats.org/officeDocument/2006/relationships/oleObject" Target="embeddings/oleObject235.bin"/><Relationship Id="rId466" Type="http://schemas.openxmlformats.org/officeDocument/2006/relationships/image" Target="media/image227.emf"/><Relationship Id="rId465" Type="http://schemas.openxmlformats.org/officeDocument/2006/relationships/image" Target="media/image226.emf"/><Relationship Id="rId464" Type="http://schemas.openxmlformats.org/officeDocument/2006/relationships/image" Target="media/image225.emf"/><Relationship Id="rId463" Type="http://schemas.openxmlformats.org/officeDocument/2006/relationships/image" Target="media/image224.wmf"/><Relationship Id="rId462" Type="http://schemas.openxmlformats.org/officeDocument/2006/relationships/oleObject" Target="embeddings/oleObject234.bin"/><Relationship Id="rId461" Type="http://schemas.openxmlformats.org/officeDocument/2006/relationships/image" Target="media/image223.emf"/><Relationship Id="rId460" Type="http://schemas.openxmlformats.org/officeDocument/2006/relationships/image" Target="media/image222.wmf"/><Relationship Id="rId46" Type="http://schemas.openxmlformats.org/officeDocument/2006/relationships/oleObject" Target="embeddings/oleObject21.bin"/><Relationship Id="rId459" Type="http://schemas.openxmlformats.org/officeDocument/2006/relationships/oleObject" Target="embeddings/oleObject233.bin"/><Relationship Id="rId458" Type="http://schemas.openxmlformats.org/officeDocument/2006/relationships/image" Target="media/image221.wmf"/><Relationship Id="rId457" Type="http://schemas.openxmlformats.org/officeDocument/2006/relationships/oleObject" Target="embeddings/oleObject232.bin"/><Relationship Id="rId456" Type="http://schemas.openxmlformats.org/officeDocument/2006/relationships/image" Target="media/image220.wmf"/><Relationship Id="rId455" Type="http://schemas.openxmlformats.org/officeDocument/2006/relationships/oleObject" Target="embeddings/oleObject231.bin"/><Relationship Id="rId454" Type="http://schemas.openxmlformats.org/officeDocument/2006/relationships/oleObject" Target="embeddings/oleObject230.bin"/><Relationship Id="rId453" Type="http://schemas.openxmlformats.org/officeDocument/2006/relationships/oleObject" Target="embeddings/oleObject229.bin"/><Relationship Id="rId452" Type="http://schemas.openxmlformats.org/officeDocument/2006/relationships/image" Target="media/image219.wmf"/><Relationship Id="rId451" Type="http://schemas.openxmlformats.org/officeDocument/2006/relationships/oleObject" Target="embeddings/oleObject228.bin"/><Relationship Id="rId450" Type="http://schemas.openxmlformats.org/officeDocument/2006/relationships/image" Target="media/image218.wmf"/><Relationship Id="rId45" Type="http://schemas.openxmlformats.org/officeDocument/2006/relationships/image" Target="media/image20.wmf"/><Relationship Id="rId449" Type="http://schemas.openxmlformats.org/officeDocument/2006/relationships/oleObject" Target="embeddings/oleObject227.bin"/><Relationship Id="rId448" Type="http://schemas.openxmlformats.org/officeDocument/2006/relationships/oleObject" Target="embeddings/oleObject226.bin"/><Relationship Id="rId447" Type="http://schemas.openxmlformats.org/officeDocument/2006/relationships/image" Target="media/image217.emf"/><Relationship Id="rId446" Type="http://schemas.openxmlformats.org/officeDocument/2006/relationships/image" Target="media/image216.emf"/><Relationship Id="rId445" Type="http://schemas.openxmlformats.org/officeDocument/2006/relationships/image" Target="media/image215.emf"/><Relationship Id="rId444" Type="http://schemas.openxmlformats.org/officeDocument/2006/relationships/image" Target="media/image214.emf"/><Relationship Id="rId443" Type="http://schemas.openxmlformats.org/officeDocument/2006/relationships/image" Target="media/image213.wmf"/><Relationship Id="rId442" Type="http://schemas.openxmlformats.org/officeDocument/2006/relationships/oleObject" Target="embeddings/oleObject225.bin"/><Relationship Id="rId441" Type="http://schemas.openxmlformats.org/officeDocument/2006/relationships/image" Target="media/image212.wmf"/><Relationship Id="rId440" Type="http://schemas.openxmlformats.org/officeDocument/2006/relationships/oleObject" Target="embeddings/oleObject224.bin"/><Relationship Id="rId44" Type="http://schemas.openxmlformats.org/officeDocument/2006/relationships/oleObject" Target="embeddings/oleObject20.bin"/><Relationship Id="rId439" Type="http://schemas.openxmlformats.org/officeDocument/2006/relationships/image" Target="media/image211.wmf"/><Relationship Id="rId438" Type="http://schemas.openxmlformats.org/officeDocument/2006/relationships/oleObject" Target="embeddings/oleObject223.bin"/><Relationship Id="rId437" Type="http://schemas.openxmlformats.org/officeDocument/2006/relationships/image" Target="media/image210.wmf"/><Relationship Id="rId436" Type="http://schemas.openxmlformats.org/officeDocument/2006/relationships/oleObject" Target="embeddings/oleObject222.bin"/><Relationship Id="rId435" Type="http://schemas.openxmlformats.org/officeDocument/2006/relationships/image" Target="media/image209.wmf"/><Relationship Id="rId434" Type="http://schemas.openxmlformats.org/officeDocument/2006/relationships/oleObject" Target="embeddings/oleObject221.bin"/><Relationship Id="rId433" Type="http://schemas.openxmlformats.org/officeDocument/2006/relationships/image" Target="media/image208.wmf"/><Relationship Id="rId432" Type="http://schemas.openxmlformats.org/officeDocument/2006/relationships/oleObject" Target="embeddings/oleObject220.bin"/><Relationship Id="rId431" Type="http://schemas.openxmlformats.org/officeDocument/2006/relationships/image" Target="media/image207.wmf"/><Relationship Id="rId430" Type="http://schemas.openxmlformats.org/officeDocument/2006/relationships/oleObject" Target="embeddings/oleObject219.bin"/><Relationship Id="rId43" Type="http://schemas.openxmlformats.org/officeDocument/2006/relationships/image" Target="media/image19.wmf"/><Relationship Id="rId429" Type="http://schemas.openxmlformats.org/officeDocument/2006/relationships/image" Target="media/image206.wmf"/><Relationship Id="rId428" Type="http://schemas.openxmlformats.org/officeDocument/2006/relationships/oleObject" Target="embeddings/oleObject218.bin"/><Relationship Id="rId427" Type="http://schemas.openxmlformats.org/officeDocument/2006/relationships/image" Target="media/image205.wmf"/><Relationship Id="rId426" Type="http://schemas.openxmlformats.org/officeDocument/2006/relationships/oleObject" Target="embeddings/oleObject217.bin"/><Relationship Id="rId425" Type="http://schemas.openxmlformats.org/officeDocument/2006/relationships/image" Target="media/image204.wmf"/><Relationship Id="rId424" Type="http://schemas.openxmlformats.org/officeDocument/2006/relationships/oleObject" Target="embeddings/oleObject216.bin"/><Relationship Id="rId423" Type="http://schemas.openxmlformats.org/officeDocument/2006/relationships/image" Target="media/image203.wmf"/><Relationship Id="rId422" Type="http://schemas.openxmlformats.org/officeDocument/2006/relationships/oleObject" Target="embeddings/oleObject215.bin"/><Relationship Id="rId421" Type="http://schemas.openxmlformats.org/officeDocument/2006/relationships/image" Target="media/image202.wmf"/><Relationship Id="rId420" Type="http://schemas.openxmlformats.org/officeDocument/2006/relationships/oleObject" Target="embeddings/oleObject214.bin"/><Relationship Id="rId42" Type="http://schemas.openxmlformats.org/officeDocument/2006/relationships/oleObject" Target="embeddings/oleObject19.bin"/><Relationship Id="rId419" Type="http://schemas.openxmlformats.org/officeDocument/2006/relationships/image" Target="media/image201.wmf"/><Relationship Id="rId418" Type="http://schemas.openxmlformats.org/officeDocument/2006/relationships/oleObject" Target="embeddings/oleObject213.bin"/><Relationship Id="rId417" Type="http://schemas.openxmlformats.org/officeDocument/2006/relationships/image" Target="media/image200.wmf"/><Relationship Id="rId416" Type="http://schemas.openxmlformats.org/officeDocument/2006/relationships/oleObject" Target="embeddings/oleObject212.bin"/><Relationship Id="rId415" Type="http://schemas.openxmlformats.org/officeDocument/2006/relationships/image" Target="media/image199.wmf"/><Relationship Id="rId414" Type="http://schemas.openxmlformats.org/officeDocument/2006/relationships/oleObject" Target="embeddings/oleObject211.bin"/><Relationship Id="rId413" Type="http://schemas.openxmlformats.org/officeDocument/2006/relationships/image" Target="media/image198.wmf"/><Relationship Id="rId412" Type="http://schemas.openxmlformats.org/officeDocument/2006/relationships/oleObject" Target="embeddings/oleObject210.bin"/><Relationship Id="rId411" Type="http://schemas.openxmlformats.org/officeDocument/2006/relationships/image" Target="media/image197.emf"/><Relationship Id="rId410" Type="http://schemas.openxmlformats.org/officeDocument/2006/relationships/image" Target="media/image196.emf"/><Relationship Id="rId41" Type="http://schemas.openxmlformats.org/officeDocument/2006/relationships/image" Target="media/image18.wmf"/><Relationship Id="rId409" Type="http://schemas.openxmlformats.org/officeDocument/2006/relationships/image" Target="media/image195.wmf"/><Relationship Id="rId408" Type="http://schemas.openxmlformats.org/officeDocument/2006/relationships/oleObject" Target="embeddings/oleObject209.bin"/><Relationship Id="rId407" Type="http://schemas.openxmlformats.org/officeDocument/2006/relationships/image" Target="media/image194.wmf"/><Relationship Id="rId406" Type="http://schemas.openxmlformats.org/officeDocument/2006/relationships/oleObject" Target="embeddings/oleObject208.bin"/><Relationship Id="rId405" Type="http://schemas.openxmlformats.org/officeDocument/2006/relationships/image" Target="media/image193.wmf"/><Relationship Id="rId404" Type="http://schemas.openxmlformats.org/officeDocument/2006/relationships/oleObject" Target="embeddings/oleObject207.bin"/><Relationship Id="rId403" Type="http://schemas.openxmlformats.org/officeDocument/2006/relationships/image" Target="media/image192.wmf"/><Relationship Id="rId402" Type="http://schemas.openxmlformats.org/officeDocument/2006/relationships/oleObject" Target="embeddings/oleObject206.bin"/><Relationship Id="rId401" Type="http://schemas.openxmlformats.org/officeDocument/2006/relationships/image" Target="media/image191.wmf"/><Relationship Id="rId400" Type="http://schemas.openxmlformats.org/officeDocument/2006/relationships/oleObject" Target="embeddings/oleObject205.bin"/><Relationship Id="rId40" Type="http://schemas.openxmlformats.org/officeDocument/2006/relationships/oleObject" Target="embeddings/oleObject18.bin"/><Relationship Id="rId4" Type="http://schemas.openxmlformats.org/officeDocument/2006/relationships/footer" Target="footer2.xml"/><Relationship Id="rId399" Type="http://schemas.openxmlformats.org/officeDocument/2006/relationships/image" Target="media/image190.wmf"/><Relationship Id="rId398" Type="http://schemas.openxmlformats.org/officeDocument/2006/relationships/oleObject" Target="embeddings/oleObject204.bin"/><Relationship Id="rId397" Type="http://schemas.openxmlformats.org/officeDocument/2006/relationships/image" Target="media/image189.wmf"/><Relationship Id="rId396" Type="http://schemas.openxmlformats.org/officeDocument/2006/relationships/oleObject" Target="embeddings/oleObject203.bin"/><Relationship Id="rId395" Type="http://schemas.openxmlformats.org/officeDocument/2006/relationships/image" Target="media/image188.wmf"/><Relationship Id="rId394" Type="http://schemas.openxmlformats.org/officeDocument/2006/relationships/oleObject" Target="embeddings/oleObject202.bin"/><Relationship Id="rId393" Type="http://schemas.openxmlformats.org/officeDocument/2006/relationships/image" Target="media/image187.wmf"/><Relationship Id="rId392" Type="http://schemas.openxmlformats.org/officeDocument/2006/relationships/oleObject" Target="embeddings/oleObject201.bin"/><Relationship Id="rId391" Type="http://schemas.openxmlformats.org/officeDocument/2006/relationships/image" Target="media/image186.wmf"/><Relationship Id="rId390" Type="http://schemas.openxmlformats.org/officeDocument/2006/relationships/oleObject" Target="embeddings/oleObject200.bin"/><Relationship Id="rId39" Type="http://schemas.openxmlformats.org/officeDocument/2006/relationships/image" Target="media/image17.wmf"/><Relationship Id="rId389" Type="http://schemas.openxmlformats.org/officeDocument/2006/relationships/image" Target="media/image185.wmf"/><Relationship Id="rId388" Type="http://schemas.openxmlformats.org/officeDocument/2006/relationships/oleObject" Target="embeddings/oleObject199.bin"/><Relationship Id="rId387" Type="http://schemas.openxmlformats.org/officeDocument/2006/relationships/image" Target="media/image184.wmf"/><Relationship Id="rId386" Type="http://schemas.openxmlformats.org/officeDocument/2006/relationships/oleObject" Target="embeddings/oleObject198.bin"/><Relationship Id="rId385" Type="http://schemas.openxmlformats.org/officeDocument/2006/relationships/image" Target="media/image183.wmf"/><Relationship Id="rId384" Type="http://schemas.openxmlformats.org/officeDocument/2006/relationships/oleObject" Target="embeddings/oleObject197.bin"/><Relationship Id="rId383" Type="http://schemas.openxmlformats.org/officeDocument/2006/relationships/image" Target="media/image182.wmf"/><Relationship Id="rId382" Type="http://schemas.openxmlformats.org/officeDocument/2006/relationships/oleObject" Target="embeddings/oleObject196.bin"/><Relationship Id="rId381" Type="http://schemas.openxmlformats.org/officeDocument/2006/relationships/image" Target="media/image181.wmf"/><Relationship Id="rId380" Type="http://schemas.openxmlformats.org/officeDocument/2006/relationships/oleObject" Target="embeddings/oleObject195.bin"/><Relationship Id="rId38" Type="http://schemas.openxmlformats.org/officeDocument/2006/relationships/oleObject" Target="embeddings/oleObject17.bin"/><Relationship Id="rId379" Type="http://schemas.openxmlformats.org/officeDocument/2006/relationships/image" Target="media/image180.wmf"/><Relationship Id="rId378" Type="http://schemas.openxmlformats.org/officeDocument/2006/relationships/oleObject" Target="embeddings/oleObject194.bin"/><Relationship Id="rId377" Type="http://schemas.openxmlformats.org/officeDocument/2006/relationships/image" Target="media/image179.wmf"/><Relationship Id="rId376" Type="http://schemas.openxmlformats.org/officeDocument/2006/relationships/oleObject" Target="embeddings/oleObject193.bin"/><Relationship Id="rId375" Type="http://schemas.openxmlformats.org/officeDocument/2006/relationships/image" Target="media/image178.wmf"/><Relationship Id="rId374" Type="http://schemas.openxmlformats.org/officeDocument/2006/relationships/oleObject" Target="embeddings/oleObject192.bin"/><Relationship Id="rId373" Type="http://schemas.openxmlformats.org/officeDocument/2006/relationships/image" Target="media/image177.wmf"/><Relationship Id="rId372" Type="http://schemas.openxmlformats.org/officeDocument/2006/relationships/oleObject" Target="embeddings/oleObject191.bin"/><Relationship Id="rId371" Type="http://schemas.openxmlformats.org/officeDocument/2006/relationships/image" Target="media/image176.wmf"/><Relationship Id="rId370" Type="http://schemas.openxmlformats.org/officeDocument/2006/relationships/oleObject" Target="embeddings/oleObject190.bin"/><Relationship Id="rId37" Type="http://schemas.openxmlformats.org/officeDocument/2006/relationships/image" Target="media/image16.wmf"/><Relationship Id="rId369" Type="http://schemas.openxmlformats.org/officeDocument/2006/relationships/image" Target="media/image175.wmf"/><Relationship Id="rId368" Type="http://schemas.openxmlformats.org/officeDocument/2006/relationships/oleObject" Target="embeddings/oleObject189.bin"/><Relationship Id="rId367" Type="http://schemas.openxmlformats.org/officeDocument/2006/relationships/image" Target="media/image174.wmf"/><Relationship Id="rId366" Type="http://schemas.openxmlformats.org/officeDocument/2006/relationships/oleObject" Target="embeddings/oleObject188.bin"/><Relationship Id="rId365" Type="http://schemas.openxmlformats.org/officeDocument/2006/relationships/image" Target="media/image173.wmf"/><Relationship Id="rId364" Type="http://schemas.openxmlformats.org/officeDocument/2006/relationships/oleObject" Target="embeddings/oleObject187.bin"/><Relationship Id="rId363" Type="http://schemas.openxmlformats.org/officeDocument/2006/relationships/oleObject" Target="embeddings/oleObject186.bin"/><Relationship Id="rId362" Type="http://schemas.openxmlformats.org/officeDocument/2006/relationships/image" Target="media/image172.wmf"/><Relationship Id="rId361" Type="http://schemas.openxmlformats.org/officeDocument/2006/relationships/oleObject" Target="embeddings/oleObject185.bin"/><Relationship Id="rId360" Type="http://schemas.openxmlformats.org/officeDocument/2006/relationships/image" Target="media/image171.wmf"/><Relationship Id="rId36" Type="http://schemas.openxmlformats.org/officeDocument/2006/relationships/oleObject" Target="embeddings/oleObject16.bin"/><Relationship Id="rId359" Type="http://schemas.openxmlformats.org/officeDocument/2006/relationships/oleObject" Target="embeddings/oleObject184.bin"/><Relationship Id="rId358" Type="http://schemas.openxmlformats.org/officeDocument/2006/relationships/image" Target="media/image170.wmf"/><Relationship Id="rId357" Type="http://schemas.openxmlformats.org/officeDocument/2006/relationships/oleObject" Target="embeddings/oleObject183.bin"/><Relationship Id="rId356" Type="http://schemas.openxmlformats.org/officeDocument/2006/relationships/image" Target="media/image169.wmf"/><Relationship Id="rId355" Type="http://schemas.openxmlformats.org/officeDocument/2006/relationships/oleObject" Target="embeddings/oleObject182.bin"/><Relationship Id="rId354" Type="http://schemas.openxmlformats.org/officeDocument/2006/relationships/image" Target="media/image168.wmf"/><Relationship Id="rId353" Type="http://schemas.openxmlformats.org/officeDocument/2006/relationships/oleObject" Target="embeddings/oleObject181.bin"/><Relationship Id="rId352" Type="http://schemas.openxmlformats.org/officeDocument/2006/relationships/image" Target="media/image167.wmf"/><Relationship Id="rId351" Type="http://schemas.openxmlformats.org/officeDocument/2006/relationships/oleObject" Target="embeddings/oleObject180.bin"/><Relationship Id="rId350" Type="http://schemas.openxmlformats.org/officeDocument/2006/relationships/image" Target="media/image166.wmf"/><Relationship Id="rId35" Type="http://schemas.openxmlformats.org/officeDocument/2006/relationships/image" Target="media/image15.wmf"/><Relationship Id="rId349" Type="http://schemas.openxmlformats.org/officeDocument/2006/relationships/oleObject" Target="embeddings/oleObject179.bin"/><Relationship Id="rId348" Type="http://schemas.openxmlformats.org/officeDocument/2006/relationships/image" Target="media/image165.wmf"/><Relationship Id="rId347" Type="http://schemas.openxmlformats.org/officeDocument/2006/relationships/oleObject" Target="embeddings/oleObject178.bin"/><Relationship Id="rId346" Type="http://schemas.openxmlformats.org/officeDocument/2006/relationships/image" Target="media/image164.wmf"/><Relationship Id="rId345" Type="http://schemas.openxmlformats.org/officeDocument/2006/relationships/oleObject" Target="embeddings/oleObject177.bin"/><Relationship Id="rId344" Type="http://schemas.openxmlformats.org/officeDocument/2006/relationships/image" Target="media/image163.wmf"/><Relationship Id="rId343" Type="http://schemas.openxmlformats.org/officeDocument/2006/relationships/oleObject" Target="embeddings/oleObject176.bin"/><Relationship Id="rId342" Type="http://schemas.openxmlformats.org/officeDocument/2006/relationships/image" Target="media/image162.wmf"/><Relationship Id="rId341" Type="http://schemas.openxmlformats.org/officeDocument/2006/relationships/oleObject" Target="embeddings/oleObject175.bin"/><Relationship Id="rId340" Type="http://schemas.openxmlformats.org/officeDocument/2006/relationships/image" Target="media/image161.wmf"/><Relationship Id="rId34" Type="http://schemas.openxmlformats.org/officeDocument/2006/relationships/oleObject" Target="embeddings/oleObject15.bin"/><Relationship Id="rId339" Type="http://schemas.openxmlformats.org/officeDocument/2006/relationships/oleObject" Target="embeddings/oleObject174.bin"/><Relationship Id="rId338" Type="http://schemas.openxmlformats.org/officeDocument/2006/relationships/image" Target="media/image160.wmf"/><Relationship Id="rId337" Type="http://schemas.openxmlformats.org/officeDocument/2006/relationships/oleObject" Target="embeddings/oleObject173.bin"/><Relationship Id="rId336" Type="http://schemas.openxmlformats.org/officeDocument/2006/relationships/image" Target="media/image159.wmf"/><Relationship Id="rId335" Type="http://schemas.openxmlformats.org/officeDocument/2006/relationships/oleObject" Target="embeddings/oleObject172.bin"/><Relationship Id="rId334" Type="http://schemas.openxmlformats.org/officeDocument/2006/relationships/image" Target="media/image158.wmf"/><Relationship Id="rId333" Type="http://schemas.openxmlformats.org/officeDocument/2006/relationships/oleObject" Target="embeddings/oleObject171.bin"/><Relationship Id="rId332" Type="http://schemas.openxmlformats.org/officeDocument/2006/relationships/image" Target="media/image157.wmf"/><Relationship Id="rId331" Type="http://schemas.openxmlformats.org/officeDocument/2006/relationships/oleObject" Target="embeddings/oleObject170.bin"/><Relationship Id="rId330" Type="http://schemas.openxmlformats.org/officeDocument/2006/relationships/image" Target="media/image156.wmf"/><Relationship Id="rId33" Type="http://schemas.openxmlformats.org/officeDocument/2006/relationships/image" Target="media/image14.wmf"/><Relationship Id="rId329" Type="http://schemas.openxmlformats.org/officeDocument/2006/relationships/oleObject" Target="embeddings/oleObject169.bin"/><Relationship Id="rId328" Type="http://schemas.openxmlformats.org/officeDocument/2006/relationships/oleObject" Target="embeddings/oleObject168.bin"/><Relationship Id="rId327" Type="http://schemas.openxmlformats.org/officeDocument/2006/relationships/oleObject" Target="embeddings/oleObject167.bin"/><Relationship Id="rId326" Type="http://schemas.openxmlformats.org/officeDocument/2006/relationships/image" Target="media/image155.wmf"/><Relationship Id="rId325" Type="http://schemas.openxmlformats.org/officeDocument/2006/relationships/oleObject" Target="embeddings/oleObject166.bin"/><Relationship Id="rId324" Type="http://schemas.openxmlformats.org/officeDocument/2006/relationships/image" Target="media/image154.wmf"/><Relationship Id="rId323" Type="http://schemas.openxmlformats.org/officeDocument/2006/relationships/oleObject" Target="embeddings/oleObject165.bin"/><Relationship Id="rId322" Type="http://schemas.openxmlformats.org/officeDocument/2006/relationships/image" Target="media/image153.wmf"/><Relationship Id="rId321" Type="http://schemas.openxmlformats.org/officeDocument/2006/relationships/oleObject" Target="embeddings/oleObject164.bin"/><Relationship Id="rId320" Type="http://schemas.openxmlformats.org/officeDocument/2006/relationships/image" Target="media/image152.wmf"/><Relationship Id="rId32" Type="http://schemas.openxmlformats.org/officeDocument/2006/relationships/oleObject" Target="embeddings/oleObject14.bin"/><Relationship Id="rId319" Type="http://schemas.openxmlformats.org/officeDocument/2006/relationships/oleObject" Target="embeddings/oleObject163.bin"/><Relationship Id="rId318" Type="http://schemas.openxmlformats.org/officeDocument/2006/relationships/image" Target="media/image151.wmf"/><Relationship Id="rId317" Type="http://schemas.openxmlformats.org/officeDocument/2006/relationships/oleObject" Target="embeddings/oleObject162.bin"/><Relationship Id="rId316" Type="http://schemas.openxmlformats.org/officeDocument/2006/relationships/image" Target="media/image150.wmf"/><Relationship Id="rId315" Type="http://schemas.openxmlformats.org/officeDocument/2006/relationships/oleObject" Target="embeddings/oleObject161.bin"/><Relationship Id="rId314" Type="http://schemas.openxmlformats.org/officeDocument/2006/relationships/image" Target="media/image149.wmf"/><Relationship Id="rId313" Type="http://schemas.openxmlformats.org/officeDocument/2006/relationships/oleObject" Target="embeddings/oleObject160.bin"/><Relationship Id="rId312" Type="http://schemas.openxmlformats.org/officeDocument/2006/relationships/image" Target="media/image148.wmf"/><Relationship Id="rId311" Type="http://schemas.openxmlformats.org/officeDocument/2006/relationships/oleObject" Target="embeddings/oleObject159.bin"/><Relationship Id="rId310" Type="http://schemas.openxmlformats.org/officeDocument/2006/relationships/image" Target="media/image147.wmf"/><Relationship Id="rId31" Type="http://schemas.openxmlformats.org/officeDocument/2006/relationships/image" Target="media/image13.wmf"/><Relationship Id="rId309" Type="http://schemas.openxmlformats.org/officeDocument/2006/relationships/oleObject" Target="embeddings/oleObject158.bin"/><Relationship Id="rId308" Type="http://schemas.openxmlformats.org/officeDocument/2006/relationships/image" Target="media/image146.wmf"/><Relationship Id="rId307" Type="http://schemas.openxmlformats.org/officeDocument/2006/relationships/oleObject" Target="embeddings/oleObject157.bin"/><Relationship Id="rId306" Type="http://schemas.openxmlformats.org/officeDocument/2006/relationships/image" Target="media/image145.wmf"/><Relationship Id="rId305" Type="http://schemas.openxmlformats.org/officeDocument/2006/relationships/oleObject" Target="embeddings/oleObject156.bin"/><Relationship Id="rId304" Type="http://schemas.openxmlformats.org/officeDocument/2006/relationships/image" Target="media/image144.wmf"/><Relationship Id="rId303" Type="http://schemas.openxmlformats.org/officeDocument/2006/relationships/oleObject" Target="embeddings/oleObject155.bin"/><Relationship Id="rId302" Type="http://schemas.openxmlformats.org/officeDocument/2006/relationships/image" Target="media/image143.wmf"/><Relationship Id="rId301" Type="http://schemas.openxmlformats.org/officeDocument/2006/relationships/oleObject" Target="embeddings/oleObject154.bin"/><Relationship Id="rId300" Type="http://schemas.openxmlformats.org/officeDocument/2006/relationships/image" Target="media/image142.wmf"/><Relationship Id="rId30" Type="http://schemas.openxmlformats.org/officeDocument/2006/relationships/oleObject" Target="embeddings/oleObject13.bin"/><Relationship Id="rId3" Type="http://schemas.openxmlformats.org/officeDocument/2006/relationships/footer" Target="footer1.xml"/><Relationship Id="rId299" Type="http://schemas.openxmlformats.org/officeDocument/2006/relationships/oleObject" Target="embeddings/oleObject153.bin"/><Relationship Id="rId298" Type="http://schemas.openxmlformats.org/officeDocument/2006/relationships/image" Target="media/image141.wmf"/><Relationship Id="rId297" Type="http://schemas.openxmlformats.org/officeDocument/2006/relationships/oleObject" Target="embeddings/oleObject152.bin"/><Relationship Id="rId296" Type="http://schemas.openxmlformats.org/officeDocument/2006/relationships/image" Target="media/image140.wmf"/><Relationship Id="rId295" Type="http://schemas.openxmlformats.org/officeDocument/2006/relationships/oleObject" Target="embeddings/oleObject151.bin"/><Relationship Id="rId294" Type="http://schemas.openxmlformats.org/officeDocument/2006/relationships/image" Target="media/image139.wmf"/><Relationship Id="rId293" Type="http://schemas.openxmlformats.org/officeDocument/2006/relationships/oleObject" Target="embeddings/oleObject150.bin"/><Relationship Id="rId292" Type="http://schemas.openxmlformats.org/officeDocument/2006/relationships/image" Target="media/image138.wmf"/><Relationship Id="rId291" Type="http://schemas.openxmlformats.org/officeDocument/2006/relationships/oleObject" Target="embeddings/oleObject149.bin"/><Relationship Id="rId290" Type="http://schemas.openxmlformats.org/officeDocument/2006/relationships/oleObject" Target="embeddings/oleObject148.bin"/><Relationship Id="rId29" Type="http://schemas.openxmlformats.org/officeDocument/2006/relationships/image" Target="media/image12.wmf"/><Relationship Id="rId289" Type="http://schemas.openxmlformats.org/officeDocument/2006/relationships/image" Target="media/image137.wmf"/><Relationship Id="rId288" Type="http://schemas.openxmlformats.org/officeDocument/2006/relationships/oleObject" Target="embeddings/oleObject147.bin"/><Relationship Id="rId287" Type="http://schemas.openxmlformats.org/officeDocument/2006/relationships/image" Target="media/image136.wmf"/><Relationship Id="rId286" Type="http://schemas.openxmlformats.org/officeDocument/2006/relationships/oleObject" Target="embeddings/oleObject146.bin"/><Relationship Id="rId285" Type="http://schemas.openxmlformats.org/officeDocument/2006/relationships/image" Target="media/image135.wmf"/><Relationship Id="rId284" Type="http://schemas.openxmlformats.org/officeDocument/2006/relationships/oleObject" Target="embeddings/oleObject145.bin"/><Relationship Id="rId283" Type="http://schemas.openxmlformats.org/officeDocument/2006/relationships/image" Target="media/image134.wmf"/><Relationship Id="rId282" Type="http://schemas.openxmlformats.org/officeDocument/2006/relationships/oleObject" Target="embeddings/oleObject144.bin"/><Relationship Id="rId281" Type="http://schemas.openxmlformats.org/officeDocument/2006/relationships/image" Target="media/image133.wmf"/><Relationship Id="rId280" Type="http://schemas.openxmlformats.org/officeDocument/2006/relationships/oleObject" Target="embeddings/oleObject143.bin"/><Relationship Id="rId28" Type="http://schemas.openxmlformats.org/officeDocument/2006/relationships/oleObject" Target="embeddings/oleObject12.bin"/><Relationship Id="rId279" Type="http://schemas.openxmlformats.org/officeDocument/2006/relationships/image" Target="media/image132.wmf"/><Relationship Id="rId278" Type="http://schemas.openxmlformats.org/officeDocument/2006/relationships/oleObject" Target="embeddings/oleObject142.bin"/><Relationship Id="rId277" Type="http://schemas.openxmlformats.org/officeDocument/2006/relationships/image" Target="media/image131.wmf"/><Relationship Id="rId276" Type="http://schemas.openxmlformats.org/officeDocument/2006/relationships/oleObject" Target="embeddings/oleObject141.bin"/><Relationship Id="rId275" Type="http://schemas.openxmlformats.org/officeDocument/2006/relationships/image" Target="media/image130.wmf"/><Relationship Id="rId274" Type="http://schemas.openxmlformats.org/officeDocument/2006/relationships/oleObject" Target="embeddings/oleObject140.bin"/><Relationship Id="rId273" Type="http://schemas.openxmlformats.org/officeDocument/2006/relationships/oleObject" Target="embeddings/oleObject139.bin"/><Relationship Id="rId272" Type="http://schemas.openxmlformats.org/officeDocument/2006/relationships/image" Target="media/image129.wmf"/><Relationship Id="rId271" Type="http://schemas.openxmlformats.org/officeDocument/2006/relationships/oleObject" Target="embeddings/oleObject138.bin"/><Relationship Id="rId270" Type="http://schemas.openxmlformats.org/officeDocument/2006/relationships/image" Target="media/image128.wmf"/><Relationship Id="rId27" Type="http://schemas.openxmlformats.org/officeDocument/2006/relationships/image" Target="media/image11.wmf"/><Relationship Id="rId269" Type="http://schemas.openxmlformats.org/officeDocument/2006/relationships/oleObject" Target="embeddings/oleObject137.bin"/><Relationship Id="rId268" Type="http://schemas.openxmlformats.org/officeDocument/2006/relationships/image" Target="media/image127.wmf"/><Relationship Id="rId267" Type="http://schemas.openxmlformats.org/officeDocument/2006/relationships/oleObject" Target="embeddings/oleObject136.bin"/><Relationship Id="rId266" Type="http://schemas.openxmlformats.org/officeDocument/2006/relationships/image" Target="media/image126.wmf"/><Relationship Id="rId265" Type="http://schemas.openxmlformats.org/officeDocument/2006/relationships/oleObject" Target="embeddings/oleObject135.bin"/><Relationship Id="rId264" Type="http://schemas.openxmlformats.org/officeDocument/2006/relationships/oleObject" Target="embeddings/oleObject134.bin"/><Relationship Id="rId263" Type="http://schemas.openxmlformats.org/officeDocument/2006/relationships/image" Target="media/image125.wmf"/><Relationship Id="rId262" Type="http://schemas.openxmlformats.org/officeDocument/2006/relationships/oleObject" Target="embeddings/oleObject133.bin"/><Relationship Id="rId261" Type="http://schemas.openxmlformats.org/officeDocument/2006/relationships/image" Target="media/image124.wmf"/><Relationship Id="rId260" Type="http://schemas.openxmlformats.org/officeDocument/2006/relationships/oleObject" Target="embeddings/oleObject132.bin"/><Relationship Id="rId26" Type="http://schemas.openxmlformats.org/officeDocument/2006/relationships/oleObject" Target="embeddings/oleObject11.bin"/><Relationship Id="rId259" Type="http://schemas.openxmlformats.org/officeDocument/2006/relationships/image" Target="media/image123.wmf"/><Relationship Id="rId258" Type="http://schemas.openxmlformats.org/officeDocument/2006/relationships/oleObject" Target="embeddings/oleObject131.bin"/><Relationship Id="rId257" Type="http://schemas.openxmlformats.org/officeDocument/2006/relationships/image" Target="media/image122.wmf"/><Relationship Id="rId256" Type="http://schemas.openxmlformats.org/officeDocument/2006/relationships/oleObject" Target="embeddings/oleObject130.bin"/><Relationship Id="rId255" Type="http://schemas.openxmlformats.org/officeDocument/2006/relationships/image" Target="media/image121.wmf"/><Relationship Id="rId254" Type="http://schemas.openxmlformats.org/officeDocument/2006/relationships/oleObject" Target="embeddings/oleObject129.bin"/><Relationship Id="rId253" Type="http://schemas.openxmlformats.org/officeDocument/2006/relationships/oleObject" Target="embeddings/oleObject128.bin"/><Relationship Id="rId252" Type="http://schemas.openxmlformats.org/officeDocument/2006/relationships/image" Target="media/image120.wmf"/><Relationship Id="rId251" Type="http://schemas.openxmlformats.org/officeDocument/2006/relationships/oleObject" Target="embeddings/oleObject127.bin"/><Relationship Id="rId250" Type="http://schemas.openxmlformats.org/officeDocument/2006/relationships/image" Target="media/image119.wmf"/><Relationship Id="rId25" Type="http://schemas.openxmlformats.org/officeDocument/2006/relationships/image" Target="media/image10.wmf"/><Relationship Id="rId249" Type="http://schemas.openxmlformats.org/officeDocument/2006/relationships/oleObject" Target="embeddings/oleObject126.bin"/><Relationship Id="rId248" Type="http://schemas.openxmlformats.org/officeDocument/2006/relationships/image" Target="media/image118.wmf"/><Relationship Id="rId247" Type="http://schemas.openxmlformats.org/officeDocument/2006/relationships/oleObject" Target="embeddings/oleObject125.bin"/><Relationship Id="rId246" Type="http://schemas.openxmlformats.org/officeDocument/2006/relationships/image" Target="media/image117.wmf"/><Relationship Id="rId245" Type="http://schemas.openxmlformats.org/officeDocument/2006/relationships/oleObject" Target="embeddings/oleObject124.bin"/><Relationship Id="rId244" Type="http://schemas.openxmlformats.org/officeDocument/2006/relationships/image" Target="media/image116.wmf"/><Relationship Id="rId243" Type="http://schemas.openxmlformats.org/officeDocument/2006/relationships/oleObject" Target="embeddings/oleObject123.bin"/><Relationship Id="rId242" Type="http://schemas.openxmlformats.org/officeDocument/2006/relationships/image" Target="media/image115.wmf"/><Relationship Id="rId241" Type="http://schemas.openxmlformats.org/officeDocument/2006/relationships/oleObject" Target="embeddings/oleObject122.bin"/><Relationship Id="rId240" Type="http://schemas.openxmlformats.org/officeDocument/2006/relationships/image" Target="media/image114.wmf"/><Relationship Id="rId24" Type="http://schemas.openxmlformats.org/officeDocument/2006/relationships/oleObject" Target="embeddings/oleObject10.bin"/><Relationship Id="rId239" Type="http://schemas.openxmlformats.org/officeDocument/2006/relationships/oleObject" Target="embeddings/oleObject121.bin"/><Relationship Id="rId238" Type="http://schemas.openxmlformats.org/officeDocument/2006/relationships/image" Target="media/image113.wmf"/><Relationship Id="rId237" Type="http://schemas.openxmlformats.org/officeDocument/2006/relationships/oleObject" Target="embeddings/oleObject120.bin"/><Relationship Id="rId236" Type="http://schemas.openxmlformats.org/officeDocument/2006/relationships/image" Target="media/image112.wmf"/><Relationship Id="rId235" Type="http://schemas.openxmlformats.org/officeDocument/2006/relationships/oleObject" Target="embeddings/oleObject119.bin"/><Relationship Id="rId234" Type="http://schemas.openxmlformats.org/officeDocument/2006/relationships/image" Target="media/image111.wmf"/><Relationship Id="rId233" Type="http://schemas.openxmlformats.org/officeDocument/2006/relationships/oleObject" Target="embeddings/oleObject118.bin"/><Relationship Id="rId232" Type="http://schemas.openxmlformats.org/officeDocument/2006/relationships/image" Target="media/image110.wmf"/><Relationship Id="rId231" Type="http://schemas.openxmlformats.org/officeDocument/2006/relationships/oleObject" Target="embeddings/oleObject117.bin"/><Relationship Id="rId230" Type="http://schemas.openxmlformats.org/officeDocument/2006/relationships/image" Target="media/image109.wmf"/><Relationship Id="rId23" Type="http://schemas.openxmlformats.org/officeDocument/2006/relationships/image" Target="media/image9.wmf"/><Relationship Id="rId229" Type="http://schemas.openxmlformats.org/officeDocument/2006/relationships/oleObject" Target="embeddings/oleObject116.bin"/><Relationship Id="rId228" Type="http://schemas.openxmlformats.org/officeDocument/2006/relationships/image" Target="media/image108.wmf"/><Relationship Id="rId227" Type="http://schemas.openxmlformats.org/officeDocument/2006/relationships/oleObject" Target="embeddings/oleObject115.bin"/><Relationship Id="rId226" Type="http://schemas.openxmlformats.org/officeDocument/2006/relationships/image" Target="media/image107.wmf"/><Relationship Id="rId225" Type="http://schemas.openxmlformats.org/officeDocument/2006/relationships/oleObject" Target="embeddings/oleObject114.bin"/><Relationship Id="rId224" Type="http://schemas.openxmlformats.org/officeDocument/2006/relationships/image" Target="media/image106.wmf"/><Relationship Id="rId223" Type="http://schemas.openxmlformats.org/officeDocument/2006/relationships/oleObject" Target="embeddings/oleObject113.bin"/><Relationship Id="rId222" Type="http://schemas.openxmlformats.org/officeDocument/2006/relationships/image" Target="media/image105.wmf"/><Relationship Id="rId221" Type="http://schemas.openxmlformats.org/officeDocument/2006/relationships/oleObject" Target="embeddings/oleObject112.bin"/><Relationship Id="rId220" Type="http://schemas.openxmlformats.org/officeDocument/2006/relationships/image" Target="media/image104.wmf"/><Relationship Id="rId22" Type="http://schemas.openxmlformats.org/officeDocument/2006/relationships/oleObject" Target="embeddings/oleObject9.bin"/><Relationship Id="rId219" Type="http://schemas.openxmlformats.org/officeDocument/2006/relationships/oleObject" Target="embeddings/oleObject111.bin"/><Relationship Id="rId218" Type="http://schemas.openxmlformats.org/officeDocument/2006/relationships/image" Target="media/image103.wmf"/><Relationship Id="rId217" Type="http://schemas.openxmlformats.org/officeDocument/2006/relationships/oleObject" Target="embeddings/oleObject110.bin"/><Relationship Id="rId216" Type="http://schemas.openxmlformats.org/officeDocument/2006/relationships/image" Target="media/image102.wmf"/><Relationship Id="rId215" Type="http://schemas.openxmlformats.org/officeDocument/2006/relationships/oleObject" Target="embeddings/oleObject109.bin"/><Relationship Id="rId214" Type="http://schemas.openxmlformats.org/officeDocument/2006/relationships/image" Target="media/image101.wmf"/><Relationship Id="rId213" Type="http://schemas.openxmlformats.org/officeDocument/2006/relationships/oleObject" Target="embeddings/oleObject108.bin"/><Relationship Id="rId212" Type="http://schemas.openxmlformats.org/officeDocument/2006/relationships/image" Target="media/image100.wmf"/><Relationship Id="rId211" Type="http://schemas.openxmlformats.org/officeDocument/2006/relationships/oleObject" Target="embeddings/oleObject107.bin"/><Relationship Id="rId210" Type="http://schemas.openxmlformats.org/officeDocument/2006/relationships/image" Target="media/image99.wmf"/><Relationship Id="rId21" Type="http://schemas.openxmlformats.org/officeDocument/2006/relationships/image" Target="media/image8.wmf"/><Relationship Id="rId209" Type="http://schemas.openxmlformats.org/officeDocument/2006/relationships/oleObject" Target="embeddings/oleObject106.bin"/><Relationship Id="rId208" Type="http://schemas.openxmlformats.org/officeDocument/2006/relationships/image" Target="media/image98.wmf"/><Relationship Id="rId207" Type="http://schemas.openxmlformats.org/officeDocument/2006/relationships/oleObject" Target="embeddings/oleObject105.bin"/><Relationship Id="rId206" Type="http://schemas.openxmlformats.org/officeDocument/2006/relationships/image" Target="media/image97.wmf"/><Relationship Id="rId205" Type="http://schemas.openxmlformats.org/officeDocument/2006/relationships/oleObject" Target="embeddings/oleObject104.bin"/><Relationship Id="rId204" Type="http://schemas.openxmlformats.org/officeDocument/2006/relationships/image" Target="media/image96.wmf"/><Relationship Id="rId203" Type="http://schemas.openxmlformats.org/officeDocument/2006/relationships/oleObject" Target="embeddings/oleObject103.bin"/><Relationship Id="rId202" Type="http://schemas.openxmlformats.org/officeDocument/2006/relationships/image" Target="media/image95.wmf"/><Relationship Id="rId201" Type="http://schemas.openxmlformats.org/officeDocument/2006/relationships/oleObject" Target="embeddings/oleObject102.bin"/><Relationship Id="rId200" Type="http://schemas.openxmlformats.org/officeDocument/2006/relationships/image" Target="media/image94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oleObject" Target="embeddings/oleObject101.bin"/><Relationship Id="rId198" Type="http://schemas.openxmlformats.org/officeDocument/2006/relationships/image" Target="media/image93.wmf"/><Relationship Id="rId197" Type="http://schemas.openxmlformats.org/officeDocument/2006/relationships/oleObject" Target="embeddings/oleObject100.bin"/><Relationship Id="rId196" Type="http://schemas.openxmlformats.org/officeDocument/2006/relationships/image" Target="media/image92.wmf"/><Relationship Id="rId195" Type="http://schemas.openxmlformats.org/officeDocument/2006/relationships/oleObject" Target="embeddings/oleObject99.bin"/><Relationship Id="rId194" Type="http://schemas.openxmlformats.org/officeDocument/2006/relationships/image" Target="media/image91.wmf"/><Relationship Id="rId193" Type="http://schemas.openxmlformats.org/officeDocument/2006/relationships/oleObject" Target="embeddings/oleObject98.bin"/><Relationship Id="rId192" Type="http://schemas.openxmlformats.org/officeDocument/2006/relationships/image" Target="media/image90.wmf"/><Relationship Id="rId191" Type="http://schemas.openxmlformats.org/officeDocument/2006/relationships/oleObject" Target="embeddings/oleObject97.bin"/><Relationship Id="rId190" Type="http://schemas.openxmlformats.org/officeDocument/2006/relationships/image" Target="media/image89.wmf"/><Relationship Id="rId19" Type="http://schemas.openxmlformats.org/officeDocument/2006/relationships/image" Target="media/image7.wmf"/><Relationship Id="rId189" Type="http://schemas.openxmlformats.org/officeDocument/2006/relationships/oleObject" Target="embeddings/oleObject96.bin"/><Relationship Id="rId188" Type="http://schemas.openxmlformats.org/officeDocument/2006/relationships/image" Target="media/image88.wmf"/><Relationship Id="rId187" Type="http://schemas.openxmlformats.org/officeDocument/2006/relationships/oleObject" Target="embeddings/oleObject95.bin"/><Relationship Id="rId186" Type="http://schemas.openxmlformats.org/officeDocument/2006/relationships/oleObject" Target="embeddings/oleObject94.bin"/><Relationship Id="rId185" Type="http://schemas.openxmlformats.org/officeDocument/2006/relationships/image" Target="media/image87.wmf"/><Relationship Id="rId184" Type="http://schemas.openxmlformats.org/officeDocument/2006/relationships/oleObject" Target="embeddings/oleObject93.bin"/><Relationship Id="rId183" Type="http://schemas.openxmlformats.org/officeDocument/2006/relationships/image" Target="media/image86.wmf"/><Relationship Id="rId182" Type="http://schemas.openxmlformats.org/officeDocument/2006/relationships/oleObject" Target="embeddings/oleObject92.bin"/><Relationship Id="rId181" Type="http://schemas.openxmlformats.org/officeDocument/2006/relationships/oleObject" Target="embeddings/oleObject91.bin"/><Relationship Id="rId180" Type="http://schemas.openxmlformats.org/officeDocument/2006/relationships/image" Target="media/image85.wmf"/><Relationship Id="rId18" Type="http://schemas.openxmlformats.org/officeDocument/2006/relationships/oleObject" Target="embeddings/oleObject7.bin"/><Relationship Id="rId179" Type="http://schemas.openxmlformats.org/officeDocument/2006/relationships/oleObject" Target="embeddings/oleObject90.bin"/><Relationship Id="rId178" Type="http://schemas.openxmlformats.org/officeDocument/2006/relationships/image" Target="media/image84.wmf"/><Relationship Id="rId177" Type="http://schemas.openxmlformats.org/officeDocument/2006/relationships/oleObject" Target="embeddings/oleObject89.bin"/><Relationship Id="rId176" Type="http://schemas.openxmlformats.org/officeDocument/2006/relationships/image" Target="media/image83.wmf"/><Relationship Id="rId175" Type="http://schemas.openxmlformats.org/officeDocument/2006/relationships/oleObject" Target="embeddings/oleObject88.bin"/><Relationship Id="rId174" Type="http://schemas.openxmlformats.org/officeDocument/2006/relationships/image" Target="media/image82.wmf"/><Relationship Id="rId173" Type="http://schemas.openxmlformats.org/officeDocument/2006/relationships/oleObject" Target="embeddings/oleObject87.bin"/><Relationship Id="rId172" Type="http://schemas.openxmlformats.org/officeDocument/2006/relationships/image" Target="media/image81.wmf"/><Relationship Id="rId171" Type="http://schemas.openxmlformats.org/officeDocument/2006/relationships/oleObject" Target="embeddings/oleObject86.bin"/><Relationship Id="rId170" Type="http://schemas.openxmlformats.org/officeDocument/2006/relationships/image" Target="media/image80.wmf"/><Relationship Id="rId17" Type="http://schemas.openxmlformats.org/officeDocument/2006/relationships/image" Target="media/image6.wmf"/><Relationship Id="rId169" Type="http://schemas.openxmlformats.org/officeDocument/2006/relationships/oleObject" Target="embeddings/oleObject85.bin"/><Relationship Id="rId168" Type="http://schemas.openxmlformats.org/officeDocument/2006/relationships/image" Target="media/image79.wmf"/><Relationship Id="rId167" Type="http://schemas.openxmlformats.org/officeDocument/2006/relationships/oleObject" Target="embeddings/oleObject84.bin"/><Relationship Id="rId166" Type="http://schemas.openxmlformats.org/officeDocument/2006/relationships/image" Target="media/image78.wmf"/><Relationship Id="rId165" Type="http://schemas.openxmlformats.org/officeDocument/2006/relationships/oleObject" Target="embeddings/oleObject83.bin"/><Relationship Id="rId164" Type="http://schemas.openxmlformats.org/officeDocument/2006/relationships/image" Target="media/image77.wmf"/><Relationship Id="rId163" Type="http://schemas.openxmlformats.org/officeDocument/2006/relationships/oleObject" Target="embeddings/oleObject82.bin"/><Relationship Id="rId162" Type="http://schemas.openxmlformats.org/officeDocument/2006/relationships/image" Target="media/image76.wmf"/><Relationship Id="rId161" Type="http://schemas.openxmlformats.org/officeDocument/2006/relationships/oleObject" Target="embeddings/oleObject81.bin"/><Relationship Id="rId160" Type="http://schemas.openxmlformats.org/officeDocument/2006/relationships/image" Target="media/image75.wmf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80.bin"/><Relationship Id="rId158" Type="http://schemas.openxmlformats.org/officeDocument/2006/relationships/image" Target="media/image74.wmf"/><Relationship Id="rId157" Type="http://schemas.openxmlformats.org/officeDocument/2006/relationships/oleObject" Target="embeddings/oleObject79.bin"/><Relationship Id="rId156" Type="http://schemas.openxmlformats.org/officeDocument/2006/relationships/image" Target="media/image73.wmf"/><Relationship Id="rId155" Type="http://schemas.openxmlformats.org/officeDocument/2006/relationships/oleObject" Target="embeddings/oleObject78.bin"/><Relationship Id="rId154" Type="http://schemas.openxmlformats.org/officeDocument/2006/relationships/image" Target="media/image72.wmf"/><Relationship Id="rId153" Type="http://schemas.openxmlformats.org/officeDocument/2006/relationships/oleObject" Target="embeddings/oleObject77.bin"/><Relationship Id="rId152" Type="http://schemas.openxmlformats.org/officeDocument/2006/relationships/image" Target="media/image71.wmf"/><Relationship Id="rId151" Type="http://schemas.openxmlformats.org/officeDocument/2006/relationships/oleObject" Target="embeddings/oleObject76.bin"/><Relationship Id="rId150" Type="http://schemas.openxmlformats.org/officeDocument/2006/relationships/image" Target="media/image70.wmf"/><Relationship Id="rId15" Type="http://schemas.openxmlformats.org/officeDocument/2006/relationships/image" Target="media/image5.wmf"/><Relationship Id="rId149" Type="http://schemas.openxmlformats.org/officeDocument/2006/relationships/oleObject" Target="embeddings/oleObject75.bin"/><Relationship Id="rId148" Type="http://schemas.openxmlformats.org/officeDocument/2006/relationships/oleObject" Target="embeddings/oleObject74.bin"/><Relationship Id="rId147" Type="http://schemas.openxmlformats.org/officeDocument/2006/relationships/image" Target="media/image69.wmf"/><Relationship Id="rId146" Type="http://schemas.openxmlformats.org/officeDocument/2006/relationships/oleObject" Target="embeddings/oleObject73.bin"/><Relationship Id="rId145" Type="http://schemas.openxmlformats.org/officeDocument/2006/relationships/image" Target="media/image68.wmf"/><Relationship Id="rId144" Type="http://schemas.openxmlformats.org/officeDocument/2006/relationships/oleObject" Target="embeddings/oleObject72.bin"/><Relationship Id="rId143" Type="http://schemas.openxmlformats.org/officeDocument/2006/relationships/image" Target="media/image67.wmf"/><Relationship Id="rId142" Type="http://schemas.openxmlformats.org/officeDocument/2006/relationships/oleObject" Target="embeddings/oleObject71.bin"/><Relationship Id="rId141" Type="http://schemas.openxmlformats.org/officeDocument/2006/relationships/image" Target="media/image66.wmf"/><Relationship Id="rId140" Type="http://schemas.openxmlformats.org/officeDocument/2006/relationships/oleObject" Target="embeddings/oleObject70.bin"/><Relationship Id="rId14" Type="http://schemas.openxmlformats.org/officeDocument/2006/relationships/oleObject" Target="embeddings/oleObject5.bin"/><Relationship Id="rId139" Type="http://schemas.openxmlformats.org/officeDocument/2006/relationships/image" Target="media/image65.wmf"/><Relationship Id="rId138" Type="http://schemas.openxmlformats.org/officeDocument/2006/relationships/oleObject" Target="embeddings/oleObject69.bin"/><Relationship Id="rId137" Type="http://schemas.openxmlformats.org/officeDocument/2006/relationships/image" Target="media/image64.wmf"/><Relationship Id="rId136" Type="http://schemas.openxmlformats.org/officeDocument/2006/relationships/oleObject" Target="embeddings/oleObject68.bin"/><Relationship Id="rId135" Type="http://schemas.openxmlformats.org/officeDocument/2006/relationships/image" Target="media/image63.wmf"/><Relationship Id="rId134" Type="http://schemas.openxmlformats.org/officeDocument/2006/relationships/oleObject" Target="embeddings/oleObject67.bin"/><Relationship Id="rId133" Type="http://schemas.openxmlformats.org/officeDocument/2006/relationships/image" Target="media/image62.wmf"/><Relationship Id="rId132" Type="http://schemas.openxmlformats.org/officeDocument/2006/relationships/oleObject" Target="embeddings/oleObject66.bin"/><Relationship Id="rId131" Type="http://schemas.openxmlformats.org/officeDocument/2006/relationships/image" Target="media/image61.wmf"/><Relationship Id="rId130" Type="http://schemas.openxmlformats.org/officeDocument/2006/relationships/oleObject" Target="embeddings/oleObject65.bin"/><Relationship Id="rId13" Type="http://schemas.openxmlformats.org/officeDocument/2006/relationships/image" Target="media/image4.wmf"/><Relationship Id="rId129" Type="http://schemas.openxmlformats.org/officeDocument/2006/relationships/image" Target="media/image60.wmf"/><Relationship Id="rId128" Type="http://schemas.openxmlformats.org/officeDocument/2006/relationships/oleObject" Target="embeddings/oleObject64.bin"/><Relationship Id="rId127" Type="http://schemas.openxmlformats.org/officeDocument/2006/relationships/image" Target="media/image59.wmf"/><Relationship Id="rId126" Type="http://schemas.openxmlformats.org/officeDocument/2006/relationships/oleObject" Target="embeddings/oleObject63.bin"/><Relationship Id="rId125" Type="http://schemas.openxmlformats.org/officeDocument/2006/relationships/image" Target="media/image58.wmf"/><Relationship Id="rId124" Type="http://schemas.openxmlformats.org/officeDocument/2006/relationships/oleObject" Target="embeddings/oleObject62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61.bin"/><Relationship Id="rId121" Type="http://schemas.openxmlformats.org/officeDocument/2006/relationships/image" Target="media/image56.wmf"/><Relationship Id="rId120" Type="http://schemas.openxmlformats.org/officeDocument/2006/relationships/oleObject" Target="embeddings/oleObject60.bin"/><Relationship Id="rId12" Type="http://schemas.openxmlformats.org/officeDocument/2006/relationships/oleObject" Target="embeddings/oleObject4.bin"/><Relationship Id="rId119" Type="http://schemas.openxmlformats.org/officeDocument/2006/relationships/image" Target="media/image55.wmf"/><Relationship Id="rId118" Type="http://schemas.openxmlformats.org/officeDocument/2006/relationships/oleObject" Target="embeddings/oleObject59.bin"/><Relationship Id="rId117" Type="http://schemas.openxmlformats.org/officeDocument/2006/relationships/image" Target="media/image54.wmf"/><Relationship Id="rId116" Type="http://schemas.openxmlformats.org/officeDocument/2006/relationships/oleObject" Target="embeddings/oleObject58.bin"/><Relationship Id="rId115" Type="http://schemas.openxmlformats.org/officeDocument/2006/relationships/image" Target="media/image53.wmf"/><Relationship Id="rId114" Type="http://schemas.openxmlformats.org/officeDocument/2006/relationships/oleObject" Target="embeddings/oleObject57.bin"/><Relationship Id="rId1133" Type="http://schemas.openxmlformats.org/officeDocument/2006/relationships/fontTable" Target="fontTable.xml"/><Relationship Id="rId1132" Type="http://schemas.openxmlformats.org/officeDocument/2006/relationships/numbering" Target="numbering.xml"/><Relationship Id="rId1131" Type="http://schemas.openxmlformats.org/officeDocument/2006/relationships/image" Target="media/image540.wmf"/><Relationship Id="rId1130" Type="http://schemas.openxmlformats.org/officeDocument/2006/relationships/oleObject" Target="embeddings/oleObject586.bin"/><Relationship Id="rId113" Type="http://schemas.openxmlformats.org/officeDocument/2006/relationships/image" Target="media/image52.wmf"/><Relationship Id="rId1129" Type="http://schemas.openxmlformats.org/officeDocument/2006/relationships/image" Target="media/image539.wmf"/><Relationship Id="rId1128" Type="http://schemas.openxmlformats.org/officeDocument/2006/relationships/oleObject" Target="embeddings/oleObject585.bin"/><Relationship Id="rId1127" Type="http://schemas.openxmlformats.org/officeDocument/2006/relationships/image" Target="media/image538.wmf"/><Relationship Id="rId1126" Type="http://schemas.openxmlformats.org/officeDocument/2006/relationships/oleObject" Target="embeddings/oleObject584.bin"/><Relationship Id="rId1125" Type="http://schemas.openxmlformats.org/officeDocument/2006/relationships/image" Target="media/image537.wmf"/><Relationship Id="rId1124" Type="http://schemas.openxmlformats.org/officeDocument/2006/relationships/oleObject" Target="embeddings/oleObject583.bin"/><Relationship Id="rId1123" Type="http://schemas.openxmlformats.org/officeDocument/2006/relationships/image" Target="media/image536.wmf"/><Relationship Id="rId1122" Type="http://schemas.openxmlformats.org/officeDocument/2006/relationships/oleObject" Target="embeddings/oleObject582.bin"/><Relationship Id="rId1121" Type="http://schemas.openxmlformats.org/officeDocument/2006/relationships/image" Target="media/image535.wmf"/><Relationship Id="rId1120" Type="http://schemas.openxmlformats.org/officeDocument/2006/relationships/oleObject" Target="embeddings/oleObject581.bin"/><Relationship Id="rId112" Type="http://schemas.openxmlformats.org/officeDocument/2006/relationships/oleObject" Target="embeddings/oleObject56.bin"/><Relationship Id="rId1119" Type="http://schemas.openxmlformats.org/officeDocument/2006/relationships/image" Target="media/image534.wmf"/><Relationship Id="rId1118" Type="http://schemas.openxmlformats.org/officeDocument/2006/relationships/oleObject" Target="embeddings/oleObject580.bin"/><Relationship Id="rId1117" Type="http://schemas.openxmlformats.org/officeDocument/2006/relationships/image" Target="media/image533.wmf"/><Relationship Id="rId1116" Type="http://schemas.openxmlformats.org/officeDocument/2006/relationships/oleObject" Target="embeddings/oleObject579.bin"/><Relationship Id="rId1115" Type="http://schemas.openxmlformats.org/officeDocument/2006/relationships/image" Target="media/image532.wmf"/><Relationship Id="rId1114" Type="http://schemas.openxmlformats.org/officeDocument/2006/relationships/oleObject" Target="embeddings/oleObject578.bin"/><Relationship Id="rId1113" Type="http://schemas.openxmlformats.org/officeDocument/2006/relationships/image" Target="media/image531.wmf"/><Relationship Id="rId1112" Type="http://schemas.openxmlformats.org/officeDocument/2006/relationships/oleObject" Target="embeddings/oleObject577.bin"/><Relationship Id="rId1111" Type="http://schemas.openxmlformats.org/officeDocument/2006/relationships/image" Target="media/image530.wmf"/><Relationship Id="rId1110" Type="http://schemas.openxmlformats.org/officeDocument/2006/relationships/oleObject" Target="embeddings/oleObject576.bin"/><Relationship Id="rId111" Type="http://schemas.openxmlformats.org/officeDocument/2006/relationships/image" Target="media/image51.wmf"/><Relationship Id="rId1109" Type="http://schemas.openxmlformats.org/officeDocument/2006/relationships/image" Target="media/image529.wmf"/><Relationship Id="rId1108" Type="http://schemas.openxmlformats.org/officeDocument/2006/relationships/oleObject" Target="embeddings/oleObject575.bin"/><Relationship Id="rId1107" Type="http://schemas.openxmlformats.org/officeDocument/2006/relationships/oleObject" Target="embeddings/oleObject574.bin"/><Relationship Id="rId1106" Type="http://schemas.openxmlformats.org/officeDocument/2006/relationships/image" Target="media/image528.wmf"/><Relationship Id="rId1105" Type="http://schemas.openxmlformats.org/officeDocument/2006/relationships/oleObject" Target="embeddings/oleObject573.bin"/><Relationship Id="rId1104" Type="http://schemas.openxmlformats.org/officeDocument/2006/relationships/image" Target="media/image527.wmf"/><Relationship Id="rId1103" Type="http://schemas.openxmlformats.org/officeDocument/2006/relationships/oleObject" Target="embeddings/oleObject572.bin"/><Relationship Id="rId1102" Type="http://schemas.openxmlformats.org/officeDocument/2006/relationships/image" Target="media/image526.wmf"/><Relationship Id="rId1101" Type="http://schemas.openxmlformats.org/officeDocument/2006/relationships/oleObject" Target="embeddings/oleObject571.bin"/><Relationship Id="rId1100" Type="http://schemas.openxmlformats.org/officeDocument/2006/relationships/image" Target="media/image525.wmf"/><Relationship Id="rId110" Type="http://schemas.openxmlformats.org/officeDocument/2006/relationships/oleObject" Target="embeddings/oleObject55.bin"/><Relationship Id="rId11" Type="http://schemas.openxmlformats.org/officeDocument/2006/relationships/image" Target="media/image3.wmf"/><Relationship Id="rId1099" Type="http://schemas.openxmlformats.org/officeDocument/2006/relationships/oleObject" Target="embeddings/oleObject570.bin"/><Relationship Id="rId1098" Type="http://schemas.openxmlformats.org/officeDocument/2006/relationships/image" Target="media/image524.wmf"/><Relationship Id="rId1097" Type="http://schemas.openxmlformats.org/officeDocument/2006/relationships/oleObject" Target="embeddings/oleObject569.bin"/><Relationship Id="rId1096" Type="http://schemas.openxmlformats.org/officeDocument/2006/relationships/image" Target="media/image523.wmf"/><Relationship Id="rId1095" Type="http://schemas.openxmlformats.org/officeDocument/2006/relationships/oleObject" Target="embeddings/oleObject568.bin"/><Relationship Id="rId1094" Type="http://schemas.openxmlformats.org/officeDocument/2006/relationships/image" Target="media/image522.wmf"/><Relationship Id="rId1093" Type="http://schemas.openxmlformats.org/officeDocument/2006/relationships/oleObject" Target="embeddings/oleObject567.bin"/><Relationship Id="rId1092" Type="http://schemas.openxmlformats.org/officeDocument/2006/relationships/image" Target="media/image521.wmf"/><Relationship Id="rId1091" Type="http://schemas.openxmlformats.org/officeDocument/2006/relationships/oleObject" Target="embeddings/oleObject566.bin"/><Relationship Id="rId1090" Type="http://schemas.openxmlformats.org/officeDocument/2006/relationships/image" Target="media/image520.wmf"/><Relationship Id="rId109" Type="http://schemas.openxmlformats.org/officeDocument/2006/relationships/image" Target="media/image50.wmf"/><Relationship Id="rId1089" Type="http://schemas.openxmlformats.org/officeDocument/2006/relationships/oleObject" Target="embeddings/oleObject565.bin"/><Relationship Id="rId1088" Type="http://schemas.openxmlformats.org/officeDocument/2006/relationships/image" Target="media/image519.wmf"/><Relationship Id="rId1087" Type="http://schemas.openxmlformats.org/officeDocument/2006/relationships/oleObject" Target="embeddings/oleObject564.bin"/><Relationship Id="rId1086" Type="http://schemas.openxmlformats.org/officeDocument/2006/relationships/image" Target="media/image518.wmf"/><Relationship Id="rId1085" Type="http://schemas.openxmlformats.org/officeDocument/2006/relationships/oleObject" Target="embeddings/oleObject563.bin"/><Relationship Id="rId1084" Type="http://schemas.openxmlformats.org/officeDocument/2006/relationships/image" Target="media/image517.wmf"/><Relationship Id="rId1083" Type="http://schemas.openxmlformats.org/officeDocument/2006/relationships/oleObject" Target="embeddings/oleObject562.bin"/><Relationship Id="rId1082" Type="http://schemas.openxmlformats.org/officeDocument/2006/relationships/image" Target="media/image516.wmf"/><Relationship Id="rId1081" Type="http://schemas.openxmlformats.org/officeDocument/2006/relationships/oleObject" Target="embeddings/oleObject561.bin"/><Relationship Id="rId1080" Type="http://schemas.openxmlformats.org/officeDocument/2006/relationships/image" Target="media/image515.wmf"/><Relationship Id="rId108" Type="http://schemas.openxmlformats.org/officeDocument/2006/relationships/oleObject" Target="embeddings/oleObject54.bin"/><Relationship Id="rId1079" Type="http://schemas.openxmlformats.org/officeDocument/2006/relationships/oleObject" Target="embeddings/oleObject560.bin"/><Relationship Id="rId1078" Type="http://schemas.openxmlformats.org/officeDocument/2006/relationships/image" Target="media/image514.wmf"/><Relationship Id="rId1077" Type="http://schemas.openxmlformats.org/officeDocument/2006/relationships/oleObject" Target="embeddings/oleObject559.bin"/><Relationship Id="rId1076" Type="http://schemas.openxmlformats.org/officeDocument/2006/relationships/image" Target="media/image513.wmf"/><Relationship Id="rId1075" Type="http://schemas.openxmlformats.org/officeDocument/2006/relationships/oleObject" Target="embeddings/oleObject558.bin"/><Relationship Id="rId1074" Type="http://schemas.openxmlformats.org/officeDocument/2006/relationships/image" Target="media/image512.wmf"/><Relationship Id="rId1073" Type="http://schemas.openxmlformats.org/officeDocument/2006/relationships/oleObject" Target="embeddings/oleObject557.bin"/><Relationship Id="rId1072" Type="http://schemas.openxmlformats.org/officeDocument/2006/relationships/image" Target="media/image511.wmf"/><Relationship Id="rId1071" Type="http://schemas.openxmlformats.org/officeDocument/2006/relationships/oleObject" Target="embeddings/oleObject556.bin"/><Relationship Id="rId1070" Type="http://schemas.openxmlformats.org/officeDocument/2006/relationships/image" Target="media/image510.wmf"/><Relationship Id="rId107" Type="http://schemas.openxmlformats.org/officeDocument/2006/relationships/image" Target="media/image49.wmf"/><Relationship Id="rId1069" Type="http://schemas.openxmlformats.org/officeDocument/2006/relationships/oleObject" Target="embeddings/oleObject555.bin"/><Relationship Id="rId1068" Type="http://schemas.openxmlformats.org/officeDocument/2006/relationships/image" Target="media/image509.wmf"/><Relationship Id="rId1067" Type="http://schemas.openxmlformats.org/officeDocument/2006/relationships/oleObject" Target="embeddings/oleObject554.bin"/><Relationship Id="rId1066" Type="http://schemas.openxmlformats.org/officeDocument/2006/relationships/image" Target="media/image508.wmf"/><Relationship Id="rId1065" Type="http://schemas.openxmlformats.org/officeDocument/2006/relationships/oleObject" Target="embeddings/oleObject553.bin"/><Relationship Id="rId1064" Type="http://schemas.openxmlformats.org/officeDocument/2006/relationships/image" Target="media/image507.wmf"/><Relationship Id="rId1063" Type="http://schemas.openxmlformats.org/officeDocument/2006/relationships/oleObject" Target="embeddings/oleObject552.bin"/><Relationship Id="rId1062" Type="http://schemas.openxmlformats.org/officeDocument/2006/relationships/image" Target="media/image506.wmf"/><Relationship Id="rId1061" Type="http://schemas.openxmlformats.org/officeDocument/2006/relationships/oleObject" Target="embeddings/oleObject551.bin"/><Relationship Id="rId1060" Type="http://schemas.openxmlformats.org/officeDocument/2006/relationships/image" Target="media/image505.wmf"/><Relationship Id="rId106" Type="http://schemas.openxmlformats.org/officeDocument/2006/relationships/oleObject" Target="embeddings/oleObject53.bin"/><Relationship Id="rId1059" Type="http://schemas.openxmlformats.org/officeDocument/2006/relationships/oleObject" Target="embeddings/oleObject550.bin"/><Relationship Id="rId1058" Type="http://schemas.openxmlformats.org/officeDocument/2006/relationships/image" Target="media/image504.wmf"/><Relationship Id="rId1057" Type="http://schemas.openxmlformats.org/officeDocument/2006/relationships/oleObject" Target="embeddings/oleObject549.bin"/><Relationship Id="rId1056" Type="http://schemas.openxmlformats.org/officeDocument/2006/relationships/image" Target="media/image503.wmf"/><Relationship Id="rId1055" Type="http://schemas.openxmlformats.org/officeDocument/2006/relationships/oleObject" Target="embeddings/oleObject548.bin"/><Relationship Id="rId1054" Type="http://schemas.openxmlformats.org/officeDocument/2006/relationships/image" Target="media/image502.wmf"/><Relationship Id="rId1053" Type="http://schemas.openxmlformats.org/officeDocument/2006/relationships/oleObject" Target="embeddings/oleObject547.bin"/><Relationship Id="rId1052" Type="http://schemas.openxmlformats.org/officeDocument/2006/relationships/image" Target="media/image501.wmf"/><Relationship Id="rId1051" Type="http://schemas.openxmlformats.org/officeDocument/2006/relationships/oleObject" Target="embeddings/oleObject546.bin"/><Relationship Id="rId1050" Type="http://schemas.openxmlformats.org/officeDocument/2006/relationships/image" Target="media/image500.wmf"/><Relationship Id="rId105" Type="http://schemas.openxmlformats.org/officeDocument/2006/relationships/image" Target="media/image48.wmf"/><Relationship Id="rId1049" Type="http://schemas.openxmlformats.org/officeDocument/2006/relationships/oleObject" Target="embeddings/oleObject545.bin"/><Relationship Id="rId1048" Type="http://schemas.openxmlformats.org/officeDocument/2006/relationships/image" Target="media/image499.wmf"/><Relationship Id="rId1047" Type="http://schemas.openxmlformats.org/officeDocument/2006/relationships/oleObject" Target="embeddings/oleObject544.bin"/><Relationship Id="rId1046" Type="http://schemas.openxmlformats.org/officeDocument/2006/relationships/image" Target="media/image498.wmf"/><Relationship Id="rId1045" Type="http://schemas.openxmlformats.org/officeDocument/2006/relationships/oleObject" Target="embeddings/oleObject543.bin"/><Relationship Id="rId1044" Type="http://schemas.openxmlformats.org/officeDocument/2006/relationships/image" Target="media/image497.wmf"/><Relationship Id="rId1043" Type="http://schemas.openxmlformats.org/officeDocument/2006/relationships/oleObject" Target="embeddings/oleObject542.bin"/><Relationship Id="rId1042" Type="http://schemas.openxmlformats.org/officeDocument/2006/relationships/image" Target="media/image496.wmf"/><Relationship Id="rId1041" Type="http://schemas.openxmlformats.org/officeDocument/2006/relationships/oleObject" Target="embeddings/oleObject541.bin"/><Relationship Id="rId1040" Type="http://schemas.openxmlformats.org/officeDocument/2006/relationships/image" Target="media/image495.wmf"/><Relationship Id="rId104" Type="http://schemas.openxmlformats.org/officeDocument/2006/relationships/oleObject" Target="embeddings/oleObject52.bin"/><Relationship Id="rId1039" Type="http://schemas.openxmlformats.org/officeDocument/2006/relationships/oleObject" Target="embeddings/oleObject540.bin"/><Relationship Id="rId1038" Type="http://schemas.openxmlformats.org/officeDocument/2006/relationships/image" Target="media/image494.wmf"/><Relationship Id="rId1037" Type="http://schemas.openxmlformats.org/officeDocument/2006/relationships/oleObject" Target="embeddings/oleObject539.bin"/><Relationship Id="rId1036" Type="http://schemas.openxmlformats.org/officeDocument/2006/relationships/image" Target="media/image493.wmf"/><Relationship Id="rId1035" Type="http://schemas.openxmlformats.org/officeDocument/2006/relationships/oleObject" Target="embeddings/oleObject538.bin"/><Relationship Id="rId1034" Type="http://schemas.openxmlformats.org/officeDocument/2006/relationships/image" Target="media/image492.wmf"/><Relationship Id="rId1033" Type="http://schemas.openxmlformats.org/officeDocument/2006/relationships/oleObject" Target="embeddings/oleObject537.bin"/><Relationship Id="rId1032" Type="http://schemas.openxmlformats.org/officeDocument/2006/relationships/image" Target="media/image491.wmf"/><Relationship Id="rId1031" Type="http://schemas.openxmlformats.org/officeDocument/2006/relationships/oleObject" Target="embeddings/oleObject536.bin"/><Relationship Id="rId1030" Type="http://schemas.openxmlformats.org/officeDocument/2006/relationships/image" Target="media/image490.wmf"/><Relationship Id="rId103" Type="http://schemas.openxmlformats.org/officeDocument/2006/relationships/image" Target="media/image47.wmf"/><Relationship Id="rId1029" Type="http://schemas.openxmlformats.org/officeDocument/2006/relationships/oleObject" Target="embeddings/oleObject535.bin"/><Relationship Id="rId1028" Type="http://schemas.openxmlformats.org/officeDocument/2006/relationships/image" Target="media/image489.wmf"/><Relationship Id="rId1027" Type="http://schemas.openxmlformats.org/officeDocument/2006/relationships/oleObject" Target="embeddings/oleObject534.bin"/><Relationship Id="rId1026" Type="http://schemas.openxmlformats.org/officeDocument/2006/relationships/image" Target="media/image488.wmf"/><Relationship Id="rId1025" Type="http://schemas.openxmlformats.org/officeDocument/2006/relationships/oleObject" Target="embeddings/oleObject533.bin"/><Relationship Id="rId1024" Type="http://schemas.openxmlformats.org/officeDocument/2006/relationships/image" Target="media/image487.wmf"/><Relationship Id="rId1023" Type="http://schemas.openxmlformats.org/officeDocument/2006/relationships/oleObject" Target="embeddings/oleObject532.bin"/><Relationship Id="rId1022" Type="http://schemas.openxmlformats.org/officeDocument/2006/relationships/image" Target="media/image486.wmf"/><Relationship Id="rId1021" Type="http://schemas.openxmlformats.org/officeDocument/2006/relationships/oleObject" Target="embeddings/oleObject531.bin"/><Relationship Id="rId1020" Type="http://schemas.openxmlformats.org/officeDocument/2006/relationships/image" Target="media/image485.wmf"/><Relationship Id="rId102" Type="http://schemas.openxmlformats.org/officeDocument/2006/relationships/oleObject" Target="embeddings/oleObject51.bin"/><Relationship Id="rId1019" Type="http://schemas.openxmlformats.org/officeDocument/2006/relationships/oleObject" Target="embeddings/oleObject530.bin"/><Relationship Id="rId1018" Type="http://schemas.openxmlformats.org/officeDocument/2006/relationships/image" Target="media/image484.wmf"/><Relationship Id="rId1017" Type="http://schemas.openxmlformats.org/officeDocument/2006/relationships/oleObject" Target="embeddings/oleObject529.bin"/><Relationship Id="rId1016" Type="http://schemas.openxmlformats.org/officeDocument/2006/relationships/image" Target="media/image483.wmf"/><Relationship Id="rId1015" Type="http://schemas.openxmlformats.org/officeDocument/2006/relationships/oleObject" Target="embeddings/oleObject528.bin"/><Relationship Id="rId1014" Type="http://schemas.openxmlformats.org/officeDocument/2006/relationships/image" Target="media/image482.wmf"/><Relationship Id="rId1013" Type="http://schemas.openxmlformats.org/officeDocument/2006/relationships/oleObject" Target="embeddings/oleObject527.bin"/><Relationship Id="rId1012" Type="http://schemas.openxmlformats.org/officeDocument/2006/relationships/image" Target="media/image481.wmf"/><Relationship Id="rId1011" Type="http://schemas.openxmlformats.org/officeDocument/2006/relationships/oleObject" Target="embeddings/oleObject526.bin"/><Relationship Id="rId1010" Type="http://schemas.openxmlformats.org/officeDocument/2006/relationships/image" Target="media/image480.wmf"/><Relationship Id="rId101" Type="http://schemas.openxmlformats.org/officeDocument/2006/relationships/image" Target="media/image46.wmf"/><Relationship Id="rId1009" Type="http://schemas.openxmlformats.org/officeDocument/2006/relationships/oleObject" Target="embeddings/oleObject525.bin"/><Relationship Id="rId1008" Type="http://schemas.openxmlformats.org/officeDocument/2006/relationships/image" Target="media/image479.wmf"/><Relationship Id="rId1007" Type="http://schemas.openxmlformats.org/officeDocument/2006/relationships/oleObject" Target="embeddings/oleObject524.bin"/><Relationship Id="rId1006" Type="http://schemas.openxmlformats.org/officeDocument/2006/relationships/image" Target="media/image478.wmf"/><Relationship Id="rId1005" Type="http://schemas.openxmlformats.org/officeDocument/2006/relationships/oleObject" Target="embeddings/oleObject523.bin"/><Relationship Id="rId1004" Type="http://schemas.openxmlformats.org/officeDocument/2006/relationships/image" Target="media/image477.wmf"/><Relationship Id="rId1003" Type="http://schemas.openxmlformats.org/officeDocument/2006/relationships/oleObject" Target="embeddings/oleObject522.bin"/><Relationship Id="rId1002" Type="http://schemas.openxmlformats.org/officeDocument/2006/relationships/image" Target="media/image476.wmf"/><Relationship Id="rId1001" Type="http://schemas.openxmlformats.org/officeDocument/2006/relationships/oleObject" Target="embeddings/oleObject521.bin"/><Relationship Id="rId1000" Type="http://schemas.openxmlformats.org/officeDocument/2006/relationships/image" Target="media/image475.wmf"/><Relationship Id="rId100" Type="http://schemas.openxmlformats.org/officeDocument/2006/relationships/oleObject" Target="embeddings/oleObject50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70</Pages>
  <Words>6353</Words>
  <Characters>36214</Characters>
  <Lines>301</Lines>
  <Paragraphs>84</Paragraphs>
  <TotalTime>42</TotalTime>
  <ScaleCrop>false</ScaleCrop>
  <LinksUpToDate>false</LinksUpToDate>
  <CharactersWithSpaces>42483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2022-11-15T06:28:00Z</dcterms:created>
  <dc:creator>c</dc:creator>
  <cp:lastModifiedBy> </cp:lastModifiedBy>
  <dcterms:modified xsi:type="dcterms:W3CDTF">2024-01-16T07:10:44Z</dcterms:modified>
  <dc:title>公式集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9681D5433B41491FBB1E7509C55BBA08_13</vt:lpwstr>
  </property>
  <property fmtid="{D5CDD505-2E9C-101B-9397-08002B2CF9AE}" pid="4" name="MTWinEqns">
    <vt:bool>true</vt:bool>
  </property>
</Properties>
</file>